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001-42683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2009, Building A, Times Fortune World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No.1 Hangfeng Road, Fengtai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China 100070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This current report on Form 6-K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and the attached Exhibits 4.1 and 10.1 are hereby incorporated by reference in the registration statement of Julong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333-297664), as amended, and into each prospectus and prospectus supplement under the foregoing registration statements, to the extent not superseded by documents or reports subsequently filed or furnished by the Company under the Securities Act of 1933, as amended, or the Securities Exchange Act of 1934, as amended.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Julong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with certain investors named therein in relation to the issuance and sale of (i) 750,000 Class A ordinary shares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par value US$0.0001 per share, of the Company (the “</w:t>
      </w:r>
      <w:r>
        <w:rPr>
          <w:rFonts w:ascii="Times New Roman;Times;Serif" w:hAnsi="Times New Roman;Times;Serif"/>
          <w:b/>
          <w:i w:val="false"/>
          <w:caps w:val="false"/>
          <w:smallCaps w:val="false"/>
          <w:sz w:val="20"/>
        </w:rPr>
        <w:t>Initial Shares</w:t>
      </w:r>
      <w:r>
        <w:rPr>
          <w:rFonts w:ascii="Times New Roman;Times;Serif" w:hAnsi="Times New Roman;Times;Serif"/>
          <w:b w:val="false"/>
          <w:i w:val="false"/>
          <w:caps w:val="false"/>
          <w:smallCaps w:val="false"/>
          <w:sz w:val="20"/>
        </w:rPr>
        <w:t>”), at a purchase price of US$0.300 per share, and (ii) 2,250,000 pre-funded warrants to purchase up to an aggregate of 2,250,000 Class A Ordinary Shares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Pre-Funded Warrant,</w:t>
      </w:r>
      <w:r>
        <w:rPr>
          <w:rFonts w:ascii="Times New Roman;Times;Serif" w:hAnsi="Times New Roman;Times;Serif"/>
          <w:b w:val="false"/>
          <w:i w:val="false"/>
          <w:caps w:val="false"/>
          <w:smallCaps w:val="false"/>
          <w:sz w:val="20"/>
        </w:rPr>
        <w:t>” together with the Initial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at a purchase price of US$0.299 per pre-funded warrant, in a private placement (the “</w:t>
      </w:r>
      <w:r>
        <w:rPr>
          <w:rFonts w:ascii="Times New Roman;Times;Serif" w:hAnsi="Times New Roman;Times;Serif"/>
          <w:b/>
          <w:i w:val="false"/>
          <w:caps w:val="false"/>
          <w:smallCaps w:val="false"/>
          <w:sz w:val="20"/>
        </w:rPr>
        <w:t>Private Placement</w:t>
      </w:r>
      <w:r>
        <w:rPr>
          <w:rFonts w:ascii="Times New Roman;Times;Serif" w:hAnsi="Times New Roman;Times;Serif"/>
          <w:b w:val="false"/>
          <w:i w:val="false"/>
          <w:caps w:val="false"/>
          <w:smallCaps w:val="false"/>
          <w:sz w:val="20"/>
        </w:rPr>
        <w:t>”), for gross proceeds of US$897,750.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exercise price of US$0.001 per share and are immediately exercisable and may be exercised at any time until exercised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is expected to close on or about September 29, 2026, subject to satisfaction or waiver of the conditions precedent set forth in the Securities Purchase Agreement. Net proceeds from the Private Placement, after deducting offering expenses payable by the Company, are approximately US$828,000. The Company expects to use such proceeds from the Private Placement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is exempt from the registration requirements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pursuant to the exemption for transactions by an issuer not involving any public offering under Section 4(a)(2) of the Securities Act and Rule 506 of Regulation D of the Securities Act (“</w:t>
      </w:r>
      <w:r>
        <w:rPr>
          <w:rFonts w:ascii="Times New Roman;Times;Serif" w:hAnsi="Times New Roman;Times;Serif"/>
          <w:b/>
          <w:i w:val="false"/>
          <w:caps w:val="false"/>
          <w:smallCaps w:val="false"/>
          <w:sz w:val="20"/>
        </w:rPr>
        <w:t>Regulation D</w:t>
      </w:r>
      <w:r>
        <w:rPr>
          <w:rFonts w:ascii="Times New Roman;Times;Serif" w:hAnsi="Times New Roman;Times;Serif"/>
          <w:b w:val="false"/>
          <w:i w:val="false"/>
          <w:caps w:val="false"/>
          <w:smallCaps w:val="false"/>
          <w:sz w:val="20"/>
        </w:rPr>
        <w:t>”) and in reliance on similar exemptions under applicable state laws. The Purchasers represented that they were accredited investors within the meaning of Rule 501(a) of Regulation D and were acquiring the Securities for investment only and with no present intention of distributing any of such Securities or any arrangement or understanding regarding the distribution thereof. The Securities were offered in the Private Placement without any general solicitation by the Company or its representatives. The Initial Shares, Pre-Funded Warrants and Class A Ordinary Shares issuable upon the exercise of the Pre-Funded Warrants, have not been registered under the Securities Act or any state securities law and may not be offered or sold in the United States absent registration with the U.S. Securities and Exchange Commission or an applicable exemption from the registration requirements. Neither this Report, nor the exhibits attached hereto, constitutes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Securities Purchase Agreement and the Pre-Funded Warrants does not purport to describe all terms and conditions thereof and is qualified in its entirety by reference to the form of the Securities Purchase Agreement and Pre-Funded Warrants which are filed as Exhibits 10.1 and 4.1 hereto, respectively,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press release announcing the Private Placement is also attached as Exhibit 99.1 hereto and is incorporated herein by reference.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7"/>
        <w:gridCol w:w="60"/>
        <w:gridCol w:w="9218"/>
      </w:tblGrid>
      <w:tr>
        <w:trPr/>
        <w:tc>
          <w:tcPr>
            <w:tcW w:w="92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8" w:type="dxa"/>
            <w:tcBorders/>
            <w:shd w:fill="CCEEFF" w:val="clear"/>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Form of Pre-Funded Warrant</w:t>
              </w:r>
            </w:hyperlink>
          </w:p>
        </w:tc>
      </w:tr>
      <w:tr>
        <w:trPr/>
        <w:tc>
          <w:tcPr>
            <w:tcW w:w="9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8" w:type="dxa"/>
            <w:tcBorders/>
            <w:shd w:fill="FFFF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Form of Securities Purchase Agreement dated as of September 28, 2026, by and among the Company and certain investors signatory thereto</w:t>
              </w:r>
            </w:hyperlink>
          </w:p>
        </w:tc>
      </w:tr>
      <w:tr>
        <w:trPr/>
        <w:tc>
          <w:tcPr>
            <w:tcW w:w="9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8" w:type="dxa"/>
            <w:tcBorders/>
            <w:shd w:fill="CCEE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 Julong Holding Limited Announces Private Placement</w:t>
              </w:r>
            </w:hyperlink>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635"/>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28,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2" w:name="ex4-1.htm"/>
      <w:bookmarkStart w:id="3" w:name="ksex4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WARRANT AND THE CLASS A ORDINARY SHARES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 TO PURCHASE CLASS A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Class A Ordinary Shares: [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w:t>
      </w:r>
    </w:p>
    <w:p>
      <w:pPr>
        <w:pStyle w:val="TextBody"/>
        <w:bidi w:val="0"/>
        <w:spacing w:before="0" w:after="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805"/>
        <w:gridCol w:w="60"/>
        <w:gridCol w:w="2945"/>
      </w:tblGrid>
      <w:tr>
        <w:trPr/>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9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Issue Date: [              ],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Julong Holding Limited, </w:t>
      </w:r>
      <w:r>
        <w:rPr>
          <w:rFonts w:ascii="Times New Roman;Times;Serif" w:hAnsi="Times New Roman;Times;Serif"/>
          <w:b w:val="false"/>
          <w:i w:val="false"/>
          <w:caps w:val="false"/>
          <w:smallCaps w:val="false"/>
          <w:sz w:val="20"/>
        </w:rPr>
        <w:t>a Cayman Islands exempted company with limited liability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               ] or its registered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up to a total of [              ] Class A ordinary shares, par value $0.0001 each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Class A Ordinary Share</w:t>
      </w:r>
      <w:r>
        <w:rPr>
          <w:rFonts w:ascii="Times New Roman;Times;Serif" w:hAnsi="Times New Roman;Times;Serif"/>
          <w:b w:val="false"/>
          <w:i w:val="false"/>
          <w:caps w:val="false"/>
          <w:smallCaps w:val="false"/>
          <w:sz w:val="20"/>
        </w:rPr>
        <w:t>”), of the Company (each a “</w:t>
      </w:r>
      <w:r>
        <w:rPr>
          <w:rFonts w:ascii="Times New Roman;Times;Serif" w:hAnsi="Times New Roman;Times;Serif"/>
          <w:b/>
          <w:i w:val="false"/>
          <w:caps w:val="false"/>
          <w:smallCaps w:val="false"/>
          <w:sz w:val="20"/>
        </w:rPr>
        <w:t>Warrant 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at an exercise price per share equal to $0.001 (the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xml:space="preserve">”), in each case as adjusted from time to time as provided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upon surrender of this Pre-Funded Warrant to Purchase Class A Ordinary Share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at any time and from time to time on or after the date hereof (the “</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subject to the following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was issued pursuant to that certain Securities Purchase Agreement, dated September 28, 2026 by and among the Company and the certain investors identified therein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intermediates, controls, is controlled by or is under common control with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Company’s Class A Ordinary Shares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share dividend, share split, share combination or other similar transaction during the applicable calculation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shall have the meaning ascribed to it in Section 13(d) of the Exchange Act, and all related rules, regulations and jurisprudence.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partnership, corporation, limited liability company, business trust, joint stock company, trust, incorporated or unincorporated association, joint venture, government (or an agency or subdivision thereof) or any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Trading Market</w:t>
      </w:r>
      <w:r>
        <w:rPr>
          <w:rFonts w:ascii="Times New Roman;Times;Serif" w:hAnsi="Times New Roman;Times;Serif"/>
          <w:b w:val="false"/>
          <w:i w:val="false"/>
          <w:caps w:val="false"/>
          <w:smallCaps w:val="false"/>
          <w:sz w:val="20"/>
        </w:rPr>
        <w:t>” means the national securities exchange or other trading market on which the Class A Ordinary Shares are primarily listed on and quoted for trading, which, as of the Original Issue Date, shall be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all of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Standard Settlement Period</w:t>
      </w:r>
      <w:r>
        <w:rPr>
          <w:rFonts w:ascii="Times New Roman;Times;Serif" w:hAnsi="Times New Roman;Times;Serif"/>
          <w:b w:val="false"/>
          <w:i w:val="false"/>
          <w:caps w:val="false"/>
          <w:smallCaps w:val="false"/>
          <w:sz w:val="20"/>
        </w:rPr>
        <w:t>” means the standard settlement period, expressed in a number of Trading Days, for the Principal Trading Market with respect to the Class A Ordinary Shares that is in effect on the date of delivery of an applicable Exercise Notice, which as of the Original Issue Date was “T+1.”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weekday on which the Principal Trading Market is normally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Transhare Corporation, the Company’s transfer agent and registrar for the Class A Ordinary Shares, and any successor appointed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Issuance of Securities; Registration of Warrants</w:t>
      </w:r>
      <w:r>
        <w:rPr>
          <w:rFonts w:ascii="Times New Roman;Times;Serif" w:hAnsi="Times New Roman;Times;Serif"/>
          <w:b w:val="false"/>
          <w:i w:val="false"/>
          <w:caps w:val="false"/>
          <w:smallCaps w:val="false"/>
          <w:sz w:val="20"/>
        </w:rPr>
        <w:t>. The Company shall register ownership of this Warrant, upon records to be maintained by the Company for that purpose (the “</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Registration of Transfers</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Class A Ordinary Share in substantially the form of this Warrant (any such new warrant, a “</w:t>
      </w:r>
      <w:r>
        <w:rPr>
          <w:rFonts w:ascii="Times New Roman;Times;Serif" w:hAnsi="Times New Roman;Times;Serif"/>
          <w:b/>
          <w:i w:val="false"/>
          <w:caps w:val="false"/>
          <w:smallCaps w:val="false"/>
          <w:sz w:val="20"/>
        </w:rPr>
        <w:t>New Warrant</w:t>
      </w:r>
      <w:r>
        <w:rPr>
          <w:rFonts w:ascii="Times New Roman;Times;Serif" w:hAnsi="Times New Roman;Times;Serif"/>
          <w:b w:val="false"/>
          <w:i w:val="false"/>
          <w:caps w:val="false"/>
          <w:smallCaps w:val="false"/>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Until due presentment for registration of transfer, the Company may treat the registered Holder hereof as the owner and holder for all purposes, and the Company shall not be affected by any notice to the contrary.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or any part of this Warrant shall be exercisable by the registered Holder in any manner permitted by this Warrant (including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at any time and from time to time on or after the Original Issue Date, and such rights shall not expire until exercised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Holder may exercise this Warrant by delivering to the Company (i) an exercise notice, in the form attached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completed and duly signed, and (ii) payment of the Exercise Price for the number of Warrant Shares as to which this Warrant is being exercised, in immediately available funds, and the date on which the last of such items is delivered to the Company (as determined in accordance with the notice provisions hereof) is an “</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Delivery of Warrant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Class A Ordinary Shares specified by the Holder in the Exercise Notice and to which the Holder is entitled pursuant to such exercise (the “</w:t>
      </w:r>
      <w:r>
        <w:rPr>
          <w:rFonts w:ascii="Times New Roman;Times;Serif" w:hAnsi="Times New Roman;Times;Serif"/>
          <w:b/>
          <w:i w:val="false"/>
          <w:caps w:val="false"/>
          <w:smallCaps w:val="false"/>
          <w:sz w:val="20"/>
        </w:rPr>
        <w:t>Exercise Shares</w:t>
      </w:r>
      <w:r>
        <w:rPr>
          <w:rFonts w:ascii="Times New Roman;Times;Serif" w:hAnsi="Times New Roman;Times;Serif"/>
          <w:b w:val="false"/>
          <w:i w:val="false"/>
          <w:caps w:val="false"/>
          <w:smallCaps w:val="false"/>
          <w:sz w:val="20"/>
        </w:rPr>
        <w:t>”) to (i) the Holder’s or its designee’s balance account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through its Deposit Withdrawal At Custodian system or (ii) in book-entry form via a direct registration system (“</w:t>
      </w:r>
      <w:r>
        <w:rPr>
          <w:rFonts w:ascii="Times New Roman;Times;Serif" w:hAnsi="Times New Roman;Times;Serif"/>
          <w:b/>
          <w:i w:val="false"/>
          <w:caps w:val="false"/>
          <w:smallCaps w:val="false"/>
          <w:sz w:val="20"/>
        </w:rPr>
        <w:t>DRS</w:t>
      </w:r>
      <w:r>
        <w:rPr>
          <w:rFonts w:ascii="Times New Roman;Times;Serif" w:hAnsi="Times New Roman;Times;Serif"/>
          <w:b w:val="false"/>
          <w:i w:val="false"/>
          <w:caps w:val="false"/>
          <w:smallCaps w:val="false"/>
          <w:sz w:val="20"/>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to any other rights available to the Holder, if the Company fails to cause the Transfer Agent to deliver to the Holder or its designee Exercise Shares in the manner required pursuant to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within the Standard Settlement Period following the Exercise Date (other than a failure caused by incorrect or incomplete information provided by the Holder to the Company) and the Holder or the Holder’s broker on its behalf purchases (in an open market transaction or otherwise) Class A Ordinary Shares to deliver in satisfaction of a sale by the Holder of the Warrant Shares which the Holder anticipated receiving upon such exercise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xml:space="preserve">”) but did not receive within the Standard Settlement Period, then the Company shall, within two (2) Trading Days after the Holder’s request and in the Holder’s sole discretion, promptly honor its obligation to deliver to the Holder or its designee the Exercise Shares pursuant to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and pay cash to the Holder in an amount equal to the excess (if any) of the Holder’s total purchase price (including brokerage commissions, if any) for the Class A Ordinary Shares so purchased in the Buy-In, less the product of (A) the number of Class A Ordinary Shares purchased in the Buy-In, times (B) the Closing Sale Price of a Class A Ordinary Share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permitted by law and subject to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the Company’s obligations to issue and deliver Warrant Shares in accordance with and subject to the terms hereof (including the limitations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Class A Ordinary Shares that would have been issued if the Company had timely complied with its delivery requirements under Section 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Charges, Taxes and Expenses</w:t>
      </w:r>
      <w:r>
        <w:rPr>
          <w:rFonts w:ascii="Times New Roman;Times;Serif" w:hAnsi="Times New Roman;Times;Serif"/>
          <w:b w:val="false"/>
          <w:i w:val="false"/>
          <w:caps w:val="false"/>
          <w:smallCaps w:val="false"/>
          <w:sz w:val="20"/>
        </w:rPr>
        <w:t>.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Replacement of Warrant</w:t>
      </w:r>
      <w:r>
        <w:rPr>
          <w:rFonts w:ascii="Times New Roman;Times;Serif" w:hAnsi="Times New Roman;Times;Serif"/>
          <w:b w:val="false"/>
          <w:i w:val="false"/>
          <w:caps w:val="false"/>
          <w:smallCaps w:val="false"/>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Reservation of Warrant Shares</w:t>
      </w:r>
      <w:r>
        <w:rPr>
          <w:rFonts w:ascii="Times New Roman;Times;Serif" w:hAnsi="Times New Roman;Times;Serif"/>
          <w:b w:val="false"/>
          <w:i w:val="false"/>
          <w:caps w:val="false"/>
          <w:smallCaps w:val="false"/>
          <w:sz w:val="20"/>
        </w:rPr>
        <w:t xml:space="preserve">. The Company covenants that it will, at all times while this Warrant is outstanding, reserve and keep available out of the aggregate of its authorized but unissued and otherwise unreserved Class A Ordinary Shares,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Class A Ordinary Shares may be issued as provided herein without violation of any applicable law or regulation, or of any requirements of any securities exchange or automated quotation system upon which the Class A Ordinary Shares may be listed. The Company further covenants that it will not, without the prior written consent of the Holder, take any actions to increase the par value of the Class A Ordinary Shares at any time while this Warrant is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Certain Adjustments</w:t>
      </w:r>
      <w:r>
        <w:rPr>
          <w:rFonts w:ascii="Times New Roman;Times;Serif" w:hAnsi="Times New Roman;Times;Serif"/>
          <w:b w:val="false"/>
          <w:i w:val="false"/>
          <w:caps w:val="false"/>
          <w:smallCaps w:val="false"/>
          <w:sz w:val="20"/>
        </w:rPr>
        <w:t>. The Exercise Price and number of Warrant Shares issuable upon exercise of this Warrant (the “</w:t>
      </w:r>
      <w:r>
        <w:rPr>
          <w:rFonts w:ascii="Times New Roman;Times;Serif" w:hAnsi="Times New Roman;Times;Serif"/>
          <w:b/>
          <w:i w:val="false"/>
          <w:caps w:val="false"/>
          <w:smallCaps w:val="false"/>
          <w:sz w:val="20"/>
        </w:rPr>
        <w:t>Number of Warrant Shares</w:t>
      </w:r>
      <w:r>
        <w:rPr>
          <w:rFonts w:ascii="Times New Roman;Times;Serif" w:hAnsi="Times New Roman;Times;Serif"/>
          <w:b w:val="false"/>
          <w:i w:val="false"/>
          <w:caps w:val="false"/>
          <w:smallCaps w:val="false"/>
          <w:sz w:val="20"/>
        </w:rPr>
        <w:t xml:space="preserve">”) are subject to adjustment from time to time as set forth in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on its Class A Ordinary Shares or otherwise makes a distribution on any class of capital share issued and outstanding on the Original Issue Date and in accordance with the terms of such share on the Original Issue Date or as amended, that is payable in Class A Ordinary Shares, (ii) subdivides its outstanding Class A Ordinary Shares into a larger number of Class A Ordinary Shares, (iii) combines its outstanding Class A Ordinary Shares into a smaller number of Class A Ordinary Shares or (iv) issues by reclassification of shares of capital share any additional Class A Ordinary Shares of the Company, then in each such case the Number of Warrant Shares shall be multiplied by a fraction, the numerator of which shall be the number of Class A Ordinary Shares outstanding immediately after such event and the denominator of which shall be the number of Class A Ordinary Shares outstanding immediately before such event. Any adjustment made pursuant to clause (i) of this paragraph shall become effective immediately after the record date for the determination of shareholders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xml:space="preserve">. If, on or after the Original Issue Date, the Company shall declare or make any dividend or other pro rata distribution of its assets (or rights to acquire its assets) to holders of Class A Ordinary Shares, by way of return of capital or otherwise (including, without limitation, any distribution of cash, share or other securities, property, options, evidence of indebtedness or any other assets by way of a dividend, spin off, reclassification, corporate rearrangement, scheme of arrangement or other similar transaction, but, for the avoidance of doubt, excluding any distribution of Class A Ordinary Shares subject to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xml:space="preserve">, any distribution of Purchase Rights (as defined below) subject to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and any Fundamental Transaction (as defined below) subject to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xml:space="preserve">”) then, in each such case, the Holder shall be entitled to participate in such Distribution to the same extent that the Holder would have participated therein if the Holder had held the number of Class A Ordinary Shares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Class A Ordinary Shares are to be determined for the participation in such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Class A Ordinary Shares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If at any time on or after the Original Issue Date, the Company grants, issues or sells any Options, Convertible Securities or rights to purchase shares, warrants, securities or other property, in each case pro rata to the record holders of any class of ordinary shares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xml:space="preserve">”), then the Holder will be entitled to acquire, upon the terms applicable to such Purchase Rights, the aggregate Purchase Rights which the Holder could have acquired if the Holder had held the number of Class A Ordinary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the applicable class of ordinary shares are to be determined for the grant, issuance or sale of such Purchase Rights;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Class A Ordinary Shares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(i) “Options” means any rights, warrants or options to subscribe for or purchase Class A Ordinary Shares or Convertible Securities and (ii) “Convertible Securities” mean any shares or securities (other than Options) directly or indirectly convertible into or exercisable or exchangeable for Class A Ordinary Shares.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xml:space="preserve">. If, at any time while this Warrant is outstanding (i) the Company effects any merger or consolidation of the Company with or into another Person, in which the Company is not the surviving entity or in which the shareholders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share tender shares representing more than 50% of the voting power of the capital share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50% of the voting power of the capital share of the Company (except for any such transaction in which the shareholders of the Company immediately prior to such transaction maintain, in substantially the same proportions, the voting power of such Person immediately after the transaction) or (v) the Company effects any reclassification of the Class A Ordinary Shares or any compulsory share exchange pursuant to which the Class A Ordinary Shares is effectively converted into or exchanged for other securities, cash or property (other than as a result of a subdivision or combination of Class A Ordinary Shares covered by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xml:space="preserve"> above) (in any such case, a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Times;Serif" w:hAnsi="Times New Roman;Times;Serif"/>
          <w:b w:val="false"/>
          <w:i w:val="false"/>
          <w:caps w:val="false"/>
          <w:smallCaps w:val="false"/>
          <w:sz w:val="20"/>
          <w:u w:val="single"/>
        </w:rPr>
        <w:t>Sections 9(b)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9(c)</w:t>
      </w:r>
      <w:r>
        <w:rPr>
          <w:rFonts w:ascii="Times New Roman;Times;Serif" w:hAnsi="Times New Roman;Times;Serif"/>
          <w:b w:val="false"/>
          <w:i w:val="false"/>
          <w:caps w:val="false"/>
          <w:smallCaps w:val="false"/>
          <w:sz w:val="20"/>
        </w:rPr>
        <w:t xml:space="preserve"> above) without regard to any limitations on exercise contained herein (the “</w:t>
      </w:r>
      <w:r>
        <w:rPr>
          <w:rFonts w:ascii="Times New Roman;Times;Serif" w:hAnsi="Times New Roman;Times;Serif"/>
          <w:b/>
          <w:i w:val="false"/>
          <w:caps w:val="false"/>
          <w:smallCaps w:val="false"/>
          <w:sz w:val="20"/>
        </w:rPr>
        <w:t>Alternate Consideration</w:t>
      </w:r>
      <w:r>
        <w:rPr>
          <w:rFonts w:ascii="Times New Roman;Times;Serif" w:hAnsi="Times New Roman;Times;Serif"/>
          <w:b w:val="false"/>
          <w:i w:val="false"/>
          <w:caps w:val="false"/>
          <w:smallCaps w:val="false"/>
          <w:sz w:val="20"/>
        </w:rPr>
        <w:t>”). The Company shall not effect any Fundamental Transaction in which the Company is not the surviving entity or the Alternate Consideration includes securities of another Person unless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Number of Warrant Shares</w:t>
      </w:r>
      <w:r>
        <w:rPr>
          <w:rFonts w:ascii="Times New Roman;Times;Serif" w:hAnsi="Times New Roman;Times;Serif"/>
          <w:b w:val="false"/>
          <w:i w:val="false"/>
          <w:caps w:val="false"/>
          <w:smallCaps w:val="false"/>
          <w:sz w:val="20"/>
        </w:rPr>
        <w:t xml:space="preserve">. Simultaneously with any adjustment to the Number of Warrant Shares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Class A Ordinary Shares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be made to the nearest one-tenth of one cent or the nearest share,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pursuant to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of Corporate Events</w:t>
      </w:r>
      <w:r>
        <w:rPr>
          <w:rFonts w:ascii="Times New Roman;Times;Serif" w:hAnsi="Times New Roman;Times;Serif"/>
          <w:b w:val="false"/>
          <w:i w:val="false"/>
          <w:caps w:val="false"/>
          <w:smallCaps w:val="false"/>
          <w:sz w:val="20"/>
        </w:rPr>
        <w:t xml:space="preserve">. If, while this Warrant is outstanding, the Company (i) declares a dividend or any other distribution of cash, securities or other property in respect of its Class A Ordinary Shares, including, without limitation, any granting of rights or warrants to subscribe for or purchase any capital share of the Company or any subsidiary, (ii) authorizes or approves, enters into any agreement contemplating or solicits shareholder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Class A Ordinary Shares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shareholder approval for any Fundamental Transaction contemplated by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other than a Fundamental Transaction under clause (iii) of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Times;Serif" w:hAnsi="Times New Roman;Times;Serif"/>
          <w:b w:val="false"/>
          <w:i w:val="false"/>
          <w:caps w:val="false"/>
          <w:smallCaps w:val="false"/>
          <w:sz w:val="20"/>
          <w:u w:val="single"/>
        </w:rPr>
        <w:t>Section 9(h)</w:t>
      </w:r>
      <w:r>
        <w:rPr>
          <w:rFonts w:ascii="Times New Roman;Times;Serif" w:hAnsi="Times New Roman;Times;Serif"/>
          <w:b w:val="false"/>
          <w:i w:val="false"/>
          <w:caps w:val="false"/>
          <w:smallCaps w:val="false"/>
          <w:sz w:val="20"/>
        </w:rPr>
        <w:t xml:space="preserve"> in confidence until such information is publicly available, and shall comply with applicable law with respect to trading in the Company’s securities following receipt of any such information.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Limitations on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9.99%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xml:space="preserve">”) of the Class A Ordinary Shares that would be issued and outstanding following such exercise. For purposes of calculating beneficial ownership for determining whether the Maximum Percentage is or will be exceeded, the aggregate number of Class A Ordinary Shares held and/or beneficially owned by the Holder together with the Attribution Parties, shall include the number of Class A Ordinary Shares held and/or beneficially owned by the Holder together with the Attribution Parties plus the number of Class A Ordinary Shares issuable upon exercise of the relevant Warrant with respect to which the determination is being made but shall exclude the number of Class A Ordinary Shares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shares or warrants) that are subject to a limitation on conversion or exercise analogous to the limitation contained herein. For purposes of this </w:t>
      </w:r>
      <w:r>
        <w:rPr>
          <w:rFonts w:ascii="Times New Roman;Times;Serif" w:hAnsi="Times New Roman;Times;Serif"/>
          <w:b w:val="false"/>
          <w:i w:val="false"/>
          <w:caps w:val="false"/>
          <w:smallCaps w:val="false"/>
          <w:sz w:val="20"/>
          <w:u w:val="single"/>
        </w:rPr>
        <w:t>Paragraph 11(a)</w:t>
      </w:r>
      <w:r>
        <w:rPr>
          <w:rFonts w:ascii="Times New Roman;Times;Serif" w:hAnsi="Times New Roman;Times;Serif"/>
          <w:b w:val="false"/>
          <w:i w:val="false"/>
          <w:caps w:val="false"/>
          <w:smallCaps w:val="false"/>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Class A Ordinary Shares, a Holder of this Warrant may rely on the number of outstanding Class A Ordinary Shares as reflected in (1) the Company’s most recent annual report on Form 20-F, current report on Form 6-K or other public filing with the Securities and Exchange Commission, as the case may be, (2) a more recent public announcement by the Company or (3) any other notice by the Company or the Company’s Transfer Agent setting forth the number of Class A Ordinary Shares outstanding (such issued and outstanding Class A Ordinary Shares,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xml:space="preserve">”). For any reason at any time, upon the written or oral request of the Holder, the Company shall within one business day confirm orally and in writing or by electronic mail to the Holder the number of Class A Ordinary Shares then outstanding. The Holder shall disclose to the Company the number of Class A Ordinary Shares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Class A Ordinary Shares is less than the Reported Outstanding Share Number, the Company shall (i) notify the Holder in writing of the number of Class A Ordinary Shares then outstanding and, to the extent that such Exercise Notice would otherwise cause the Holder’s, together with the Attribution Parties’, beneficial ownership, as determined pursuant to this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to exceed the Maximum Percentage, the Holder must notify the Company of a reduced number of Warrant Shares to be purchased pursuant to such Exercise Notice (the number of shares by which such purchase is reduced, the “</w:t>
      </w:r>
      <w:r>
        <w:rPr>
          <w:rFonts w:ascii="Times New Roman;Times;Serif" w:hAnsi="Times New Roman;Times;Serif"/>
          <w:b/>
          <w:i w:val="false"/>
          <w:caps w:val="false"/>
          <w:smallCaps w:val="false"/>
          <w:sz w:val="20"/>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In any case, the number of outstanding Class A Ordinary Shares shall be determined after giving effect to the conversion or exercise of securities of the Company, including this Warrant, by the Holder and the Attribution Parties since the date as of which the Reported Outstanding Share Number was reported. In the event that the issuance of Class A Ordinary Shares to the Holder upon exercise of this Warrant results in the Holder, together with the Attribution Parties, being deemed to beneficially own, in the aggregate, more than the Maximum Percentage of the number of outstanding Class A Ordinary Shares (as determined under Section 13(d) of the Exchange Act), the number of shares so issued by which the Holder’s, together with the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not restrict the number of Class A Ordinary Shares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of this Warrant. For purposes of clarity, the Class A Ordinary Shares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to the extent necessary to correct this paragraph or any portion of this paragraph which may be defective or inconsistent with the intended beneficial ownership limitation contained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Warrant Agent</w:t>
      </w:r>
      <w:r>
        <w:rPr>
          <w:rFonts w:ascii="Times New Roman;Times;Serif" w:hAnsi="Times New Roman;Times;Serif"/>
          <w:b w:val="false"/>
          <w:i w:val="false"/>
          <w:caps w:val="false"/>
          <w:smallCaps w:val="false"/>
          <w:sz w:val="20"/>
        </w:rPr>
        <w:t>.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a Shareholder</w:t>
      </w:r>
      <w:r>
        <w:rPr>
          <w:rFonts w:ascii="Times New Roman;Times;Serif" w:hAnsi="Times New Roman;Times;Serif"/>
          <w:b w:val="false"/>
          <w:i w:val="false"/>
          <w:caps w:val="false"/>
          <w:smallCaps w:val="false"/>
          <w:sz w:val="20"/>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shareholder of the Company or any right to vote, give or withhold consent to any corporate action (whether any reorganization, issue of share, reclassification of share,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Except and to the extent as waived or consented to by the Holder, the Company shall not by any action, including, without limitation, amending its current effective amended and restated memorandum and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Subject to compliance with applicable securities laws, this Warrant may be assigned by the Holder, in the form attached as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Acceptance</w:t>
      </w:r>
      <w:r>
        <w:rPr>
          <w:rFonts w:ascii="Times New Roman;Times;Serif" w:hAnsi="Times New Roman;Times;Serif"/>
          <w:b w:val="false"/>
          <w:i w:val="false"/>
          <w:caps w:val="false"/>
          <w:smallCaps w:val="false"/>
          <w:sz w:val="20"/>
        </w:rPr>
        <w:t>. Receipt of this Warrant by the Holder shall constitute acceptance of and agreement to all of the terms and conditions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Warrant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duly executed by its authorized officer as of the date first indicated above.</w:t>
      </w:r>
    </w:p>
    <w:p>
      <w:pPr>
        <w:pStyle w:val="TextBody"/>
        <w:bidi w:val="0"/>
        <w:spacing w:before="0" w:after="0"/>
        <w:jc w:val="center"/>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590"/>
        <w:gridCol w:w="31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73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EXERCISE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Holder to purchase Class A Ordinary Shares under the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is the Holder of Warrant No. __ (the “Warrant”) issued by Julong Holding Limited, a Cayman Islands exempted company (the “Company”). Capitalized terms used herein and not otherwise defined herein have the respective meanings set forth in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undersigned hereby exercises its right to purchase _____ Warrant Shares pursuant to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Holder hereby elects to make a cash exercise and shall pay the applicable Exercise Price in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Holder shall pay the sum of $ _____ in immediately available funds to the Company in accordance with the terms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Pursuant to this Exercise Notice, the Company shall deliver to the Holder Warrant Shares determined in accordance with the terms of the Warrant. The Warrant Shares shall be delivered (check one):</w:t>
      </w:r>
    </w:p>
    <w:p>
      <w:pPr>
        <w:pStyle w:val="TextBody"/>
        <w:bidi w:val="0"/>
        <w:spacing w:before="0" w:after="0"/>
        <w:ind w:left="0" w:right="0" w:hanging="0"/>
        <w:jc w:val="both"/>
        <w:rPr>
          <w:caps w:val="false"/>
          <w:smallCaps w:val="false"/>
        </w:rPr>
      </w:pPr>
      <w:r>
        <w:rPr>
          <w:caps w:val="false"/>
          <w:smallCaps w:val="false"/>
        </w:rPr>
        <w:t> </w:t>
      </w:r>
    </w:p>
    <w:tbl>
      <w:tblPr>
        <w:tblW w:w="7099" w:type="dxa"/>
        <w:jc w:val="left"/>
        <w:tblInd w:w="0" w:type="dxa"/>
        <w:tblLayout w:type="fixed"/>
        <w:tblCellMar>
          <w:top w:w="0" w:type="dxa"/>
          <w:left w:w="0" w:type="dxa"/>
          <w:bottom w:w="0" w:type="dxa"/>
          <w:right w:w="0" w:type="dxa"/>
        </w:tblCellMar>
      </w:tblPr>
      <w:tblGrid>
        <w:gridCol w:w="75"/>
        <w:gridCol w:w="6925"/>
        <w:gridCol w:w="9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024" w:type="dxa"/>
            <w:gridSpan w:val="2"/>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the following DWAC Account Number: _______________________________</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25" w:type="dxa"/>
            <w:tcBorders/>
            <w:vAlign w:val="center"/>
          </w:tcPr>
          <w:p>
            <w:pPr>
              <w:pStyle w:val="TableContents"/>
              <w:bidi w:val="0"/>
              <w:spacing w:before="0" w:after="283"/>
              <w:jc w:val="both"/>
              <w:rPr>
                <w:caps w:val="false"/>
                <w:smallCaps w:val="false"/>
              </w:rPr>
            </w:pPr>
            <w:r>
              <w:rPr>
                <w:caps w:val="false"/>
                <w:smallCaps w:val="false"/>
              </w:rPr>
              <w:t> </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25"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book-entry form via a direct registration system</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25" w:type="dxa"/>
            <w:tcBorders/>
            <w:vAlign w:val="center"/>
          </w:tcPr>
          <w:p>
            <w:pPr>
              <w:pStyle w:val="TableContents"/>
              <w:bidi w:val="0"/>
              <w:spacing w:before="0" w:after="283"/>
              <w:jc w:val="both"/>
              <w:rPr>
                <w:caps w:val="false"/>
                <w:smallCaps w:val="false"/>
              </w:rPr>
            </w:pPr>
            <w:r>
              <w:rPr>
                <w:caps w:val="false"/>
                <w:smallCaps w:val="false"/>
              </w:rPr>
              <w:t> </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25"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physical delivery of a certificate to:</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25" w:type="dxa"/>
            <w:tcBorders/>
            <w:vAlign w:val="center"/>
          </w:tcPr>
          <w:p>
            <w:pPr>
              <w:pStyle w:val="TableContents"/>
              <w:bidi w:val="0"/>
              <w:spacing w:before="0" w:after="283"/>
              <w:jc w:val="both"/>
              <w:rPr>
                <w:caps w:val="false"/>
                <w:smallCaps w:val="false"/>
              </w:rPr>
            </w:pPr>
            <w:r>
              <w:rPr>
                <w:caps w:val="false"/>
                <w:smallCaps w:val="false"/>
              </w:rPr>
              <w:t> </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9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25" w:type="dxa"/>
            <w:tcBorders/>
            <w:vAlign w:val="center"/>
          </w:tcPr>
          <w:p>
            <w:pPr>
              <w:pStyle w:val="TableContents"/>
              <w:bidi w:val="0"/>
              <w:spacing w:before="0" w:after="283"/>
              <w:jc w:val="both"/>
              <w:rPr>
                <w:caps w:val="false"/>
                <w:smallCaps w:val="false"/>
              </w:rPr>
            </w:pPr>
            <w:r>
              <w:rPr>
                <w:caps w:val="false"/>
                <w:smallCaps w:val="false"/>
              </w:rPr>
              <w:t> </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9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25" w:type="dxa"/>
            <w:tcBorders/>
            <w:vAlign w:val="center"/>
          </w:tcPr>
          <w:p>
            <w:pPr>
              <w:pStyle w:val="TableContents"/>
              <w:bidi w:val="0"/>
              <w:spacing w:before="0" w:after="283"/>
              <w:jc w:val="both"/>
              <w:rPr>
                <w:caps w:val="false"/>
                <w:smallCaps w:val="false"/>
              </w:rPr>
            </w:pPr>
            <w:r>
              <w:rPr>
                <w:caps w:val="false"/>
                <w:smallCaps w:val="false"/>
              </w:rPr>
              <w:t> </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25" w:type="dxa"/>
            <w:tcBorders/>
            <w:vAlign w:val="center"/>
          </w:tcPr>
          <w:p>
            <w:pPr>
              <w:pStyle w:val="TableContents"/>
              <w:bidi w:val="0"/>
              <w:spacing w:before="0" w:after="283"/>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restricted book-entry form in the Company’s share register</w:t>
            </w:r>
          </w:p>
        </w:tc>
        <w:tc>
          <w:tcPr>
            <w:tcW w:w="99"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By its delivery of this Exercise Notice, the undersigned represents and warrants to the Company that in giving effect to the exercise evidenced hereby (i) [the Holder is an “accredited investor” as defined in Regulation D promulgated under the Securities Act of 1933, as amended] and (ii) will not beneficially own in excess of the number of Class A Ordinary Shares (as determined in accordance with Section 13(d) of the Securities Exchange Act of 1934, as amended) permitted to be owned under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Warrant to which this notice relates.</w:t>
      </w:r>
    </w:p>
    <w:p>
      <w:pPr>
        <w:pStyle w:val="TextBody"/>
        <w:bidi w:val="0"/>
        <w:spacing w:before="0" w:after="0"/>
        <w:ind w:left="0" w:right="0" w:hanging="0"/>
        <w:jc w:val="both"/>
        <w:rPr>
          <w:caps w:val="false"/>
          <w:smallCaps w:val="false"/>
        </w:rPr>
      </w:pPr>
      <w:r>
        <w:rPr>
          <w:caps w:val="false"/>
          <w:smallCaps w:val="false"/>
        </w:rPr>
        <w:t> </w:t>
      </w:r>
    </w:p>
    <w:tbl>
      <w:tblPr>
        <w:tblW w:w="1550" w:type="dxa"/>
        <w:jc w:val="left"/>
        <w:tblInd w:w="0" w:type="dxa"/>
        <w:tblLayout w:type="fixed"/>
        <w:tblCellMar>
          <w:top w:w="0" w:type="dxa"/>
          <w:left w:w="0" w:type="dxa"/>
          <w:bottom w:w="0" w:type="dxa"/>
          <w:right w:w="0" w:type="dxa"/>
        </w:tblCellMar>
      </w:tblPr>
      <w:tblGrid>
        <w:gridCol w:w="1415"/>
        <w:gridCol w:w="60"/>
        <w:gridCol w:w="75"/>
      </w:tblGrid>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Holder: </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 this form and supply required information. Do not use this form to exercise the Warrant to purchase Class A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610"/>
        <w:gridCol w:w="1100"/>
      </w:tblGrid>
      <w:tr>
        <w:trPr/>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ex10-1.htm"/>
      <w:bookmarkStart w:id="5" w:name="ksex10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dated as of September 28,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as the same may hereafter be modified, supplemented, extended, amended, restated or amended and restated from time to time), is entered into by and among Julong Holding Limited, a Cayman Islands exempted company with limited liability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the certain investors listed on the schedule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each Investor are executing and delivering this Agreement in reliance upon the exemption from securities registration afforded by Section 4(a)(2)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the provisions of Regulation D (“</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under the Securities Act (or a successor rule) promulgated by the United States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issue and sell to the Investors, and the Investors, desire to purchase from the Company, severally and not jointly, upon the terms and conditions stated in this Agreement, (i) an aggregate of 750,000 Class A ordinary shares (“</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par value $0.0001 per share, of the Company (the “</w:t>
      </w:r>
      <w:r>
        <w:rPr>
          <w:rFonts w:ascii="Times New Roman;Times;Serif" w:hAnsi="Times New Roman;Times;Serif"/>
          <w:b w:val="false"/>
          <w:i w:val="false"/>
          <w:caps w:val="false"/>
          <w:smallCaps w:val="false"/>
          <w:sz w:val="20"/>
          <w:u w:val="single"/>
        </w:rPr>
        <w:t>Initial Shares</w:t>
      </w:r>
      <w:r>
        <w:rPr>
          <w:rFonts w:ascii="Times New Roman;Times;Serif" w:hAnsi="Times New Roman;Times;Serif"/>
          <w:b w:val="false"/>
          <w:i w:val="false"/>
          <w:caps w:val="false"/>
          <w:smallCaps w:val="false"/>
          <w:sz w:val="20"/>
        </w:rPr>
        <w:t xml:space="preserve">”) and (ii) 2,250,000 pre-funded warrants to purchase up to an aggregate of 2,250,000 Class A Ordinary Shares, at an exercise price equal to US$0.001 per share, on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and together with the Initial Shares,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of the parties hereinafter expressed and other good and valuable consideration, the receipt and sufficiency of which is hereby acknowledged, the parties hereto, each intending to be legally bound, agree as follows:</w:t>
      </w:r>
    </w:p>
    <w:p>
      <w:pPr>
        <w:pStyle w:val="TextBody"/>
        <w:bidi w:val="0"/>
        <w:spacing w:before="0" w:after="0"/>
        <w:ind w:left="90" w:right="0" w:hanging="0"/>
        <w:jc w:val="center"/>
        <w:rPr>
          <w:caps w:val="false"/>
          <w:smallCaps w:val="false"/>
        </w:rPr>
      </w:pPr>
      <w:r>
        <w:rPr>
          <w:caps w:val="false"/>
          <w:smallCaps w:val="false"/>
        </w:rPr>
        <w:t> </w:t>
      </w:r>
    </w:p>
    <w:p>
      <w:pPr>
        <w:pStyle w:val="TextBody"/>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RECITALS,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recitals are true and correct and, together with the Exhibits referred to hereafter, are incorporated into this Agreement by this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except as otherwise expressly provided or otherwise defined elsewhere in this Agreement, or unless the context otherwise requires, the capitalized terms in this Agreement shall have the meanings assigned to them in this Article as follows:</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9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means any Person that, directly or indirectly through one or more intermediaries, controls or is controlled by or is under common control with a Person as such terms are used in and construed under Rule 405 under the Securities Act.</w:t>
            </w:r>
          </w:p>
        </w:tc>
      </w:tr>
    </w:tbl>
    <w:p>
      <w:pPr>
        <w:pStyle w:val="TextBody"/>
        <w:bidi w:val="0"/>
        <w:spacing w:before="0" w:after="0"/>
        <w:ind w:left="1080" w:right="0" w:hanging="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275"/>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1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shall have the meaning ascribed to such term in the Preamble.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Assets” means all of the properties and assets of the Company and its Subsidiaries (as defined below), whether real, personal or mixed, tangible or intangible, wherever located, whether now owned or hereafter acquired.</w:t>
            </w:r>
          </w:p>
        </w:tc>
      </w:tr>
    </w:tbl>
    <w:p>
      <w:pPr>
        <w:pStyle w:val="TextBody"/>
        <w:bidi w:val="0"/>
        <w:spacing w:before="0" w:after="0"/>
        <w:ind w:left="1080" w:right="0" w:hanging="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75"/>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4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 the board of directors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9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Claims” means any Proceedings, Judgments, Obligations, known threats, losses, damages, deficiencies, settlements, assessments, charges, costs and expenses of any nature or kind.</w:t>
            </w:r>
          </w:p>
        </w:tc>
      </w:tr>
    </w:tbl>
    <w:p>
      <w:pPr>
        <w:pStyle w:val="TextBody"/>
        <w:bidi w:val="0"/>
        <w:spacing w:before="0" w:after="0"/>
        <w:ind w:left="1080" w:right="0" w:hanging="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275"/>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56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has the meaning as set forth in the recitals.</w:t>
            </w:r>
          </w:p>
        </w:tc>
      </w:tr>
    </w:tbl>
    <w:p>
      <w:pPr>
        <w:pStyle w:val="TextBody"/>
        <w:bidi w:val="0"/>
        <w:spacing w:before="0" w:after="0"/>
        <w:ind w:left="1080" w:right="0" w:hanging="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275"/>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31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means the Company’s Class B ordinary shares, par value $0.0001 per share.</w:t>
            </w:r>
          </w:p>
        </w:tc>
      </w:tr>
    </w:tbl>
    <w:p>
      <w:pPr>
        <w:pStyle w:val="TextBody"/>
        <w:bidi w:val="0"/>
        <w:spacing w:before="0" w:after="0"/>
        <w:ind w:left="72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275"/>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41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Closing”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275"/>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45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Closing Date”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38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60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shall have the meaning ascribed to such term in the Preamble.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Contract” means any written contract, agreement, order or commitment of any nature whatsoever, including, any sales order, purchase order, lease, sublease, license agreement, services agreement, loan agreement, mortgage, security agreement, guarantee, management contract, employment agreement, consulting agreement, partnership agreement, shareholders agreement, buy-sell agreement, option, warrant, debenture, subscription, call or put.</w:t>
            </w:r>
          </w:p>
        </w:tc>
      </w:tr>
    </w:tbl>
    <w:p>
      <w:pPr>
        <w:pStyle w:val="TextBody"/>
        <w:bidi w:val="0"/>
        <w:spacing w:before="0" w:after="0"/>
        <w:ind w:left="1080" w:right="0" w:hanging="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38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1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Date” means the date of this Agreement.</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Encumbrance” means any lien, security interest, pledge, mortgage, easement, leasehold, assessment, tax, covenant, restriction, reservation, conditional sale, prior assignment, or any other encumbrance, claim, burden or charge of any nature whatsoever.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shall mean the Securities Exchange Act of 1934, as amended, and the rules and regulations promulgated thereunder.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Governmental Authority” means any foreign, federal, state or local government, or any political subdivision thereof, or any court, agency or other body, organization, group, stock market or exchange exercising any executive, legislative, judicial, quasi-judicial, regulatory or administrative function of government.</w:t>
            </w:r>
          </w:p>
        </w:tc>
      </w:tr>
    </w:tbl>
    <w:p>
      <w:pPr>
        <w:pStyle w:val="TextBody"/>
        <w:bidi w:val="0"/>
        <w:spacing w:before="0" w:after="0"/>
        <w:ind w:left="1080" w:right="0" w:hanging="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38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591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Investor” shall have the meaning ascribed to such term in the Preamble.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Judgment” means any final order, writ, injunction, fine, citation, award, decree, or any other judgment of any nature whatsoever of any Governmental Authority.</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Law” means any provision of any law, statute, ordinance, code, constitution, charter, treaty, rule or regulation of any Governmental Authority material to the Company.</w:t>
            </w:r>
          </w:p>
        </w:tc>
      </w:tr>
    </w:tbl>
    <w:p>
      <w:pPr>
        <w:pStyle w:val="TextBody"/>
        <w:bidi w:val="0"/>
        <w:spacing w:before="0" w:after="0"/>
        <w:ind w:left="1080" w:right="0" w:hanging="0"/>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38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72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Material Adverse Change” shall have the meaning ascribed to such term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Obligation” means any debt, liability or obligation of any nature whatsoever, whether secured, unsecured, recourse, nonrecourse, liquidated, unliquidated, accrued, absolute, fixed, contingent, ascertained, unascertained, known, unknown or obligations under executory Contracts.</w:t>
            </w:r>
          </w:p>
        </w:tc>
      </w:tr>
    </w:tbl>
    <w:p>
      <w:pPr>
        <w:pStyle w:val="TextBody"/>
        <w:bidi w:val="0"/>
        <w:spacing w:before="0" w:after="0"/>
        <w:ind w:left="1080" w:right="0" w:hanging="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38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67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Class A Ordinary Shares and Class B Ordinary Shares.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sole proprietorship, joint venture, partnership, company, corporation, association, cooperation, trust, estate, Governmental Authority, or any other entity of any nature whatsoever.</w:t>
            </w:r>
          </w:p>
        </w:tc>
      </w:tr>
    </w:tbl>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38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53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Pre-Funded Warrants” has the meaning as set forth in the recitals.</w:t>
            </w:r>
          </w:p>
        </w:tc>
      </w:tr>
    </w:tbl>
    <w:p>
      <w:pPr>
        <w:pStyle w:val="TextBody"/>
        <w:bidi w:val="0"/>
        <w:spacing w:before="0" w:after="0"/>
        <w:ind w:left="72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38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4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Pre-Funded Warrant Shares” means the Class A Ordinary Shares issuable upon exercise of the Pre-Funded Warrants.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Principal Trading Market” shall mean The Nasdaq Stock Market LLC or such other stock exchange (or any successor body) where the Class A Ordinary Shares are traded.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Proceeding” means any demand, claim, suit, action, litigation, investigation, audit, study, arbitration, administrative hearing, or any other proceeding of any nature whatsoever.</w:t>
            </w:r>
          </w:p>
        </w:tc>
      </w:tr>
    </w:tbl>
    <w:p>
      <w:pPr>
        <w:pStyle w:val="TextBody"/>
        <w:bidi w:val="0"/>
        <w:spacing w:before="0" w:after="0"/>
        <w:ind w:left="1080"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38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57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United States Securities and Exchange Commission.</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Documents” means all reports, schedules, forms, statements and other documents filed under the Securities Act and the Exchange Act by the Company with the SEC to the date hereof, or amended after the date hereof, and all exhibits included therein and financial statements and schedules thereto and documents incorporated by reference therein.</w:t>
            </w:r>
          </w:p>
        </w:tc>
      </w:tr>
    </w:tbl>
    <w:p>
      <w:pPr>
        <w:pStyle w:val="TextBody"/>
        <w:bidi w:val="0"/>
        <w:spacing w:before="0" w:after="0"/>
        <w:ind w:left="720" w:right="0" w:hanging="0"/>
        <w:jc w:val="left"/>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38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44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has the meaning as set forth in the recitals.</w:t>
            </w:r>
          </w:p>
        </w:tc>
      </w:tr>
    </w:tbl>
    <w:p>
      <w:pPr>
        <w:pStyle w:val="TextBody"/>
        <w:bidi w:val="0"/>
        <w:spacing w:before="0" w:after="0"/>
        <w:ind w:left="1080" w:right="0" w:hanging="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38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95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 and the rules and regulations promulgated thereunder.</w:t>
            </w:r>
          </w:p>
        </w:tc>
      </w:tr>
    </w:tbl>
    <w:p>
      <w:pPr>
        <w:pStyle w:val="TextBody"/>
        <w:bidi w:val="0"/>
        <w:spacing w:before="0" w:after="0"/>
        <w:ind w:left="1080" w:right="0" w:hanging="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38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46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Initial Shars” has the meaning as set forth in the recitals.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Subscription Amount” means, as to each Investor, the aggregate amount to be paid for the Initial Shares and Pre-Funded Warrants purchased hereunder at the Closing, as specified below such Investor’s name on the signature page of this Agreement and next to the heading “Subscription Amount,” in United States dollars and in immediately available funds, exclusive of an Investor’s aggregate exercise price of the Pre-Funded Warrants, which amounts shall be paid as and when such Pre-Funded Warrants are exercised for cash.</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78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 means (i) any foreign, federal, state or local income, profits, gross receipts, franchise, sales, use, occupancy, general property, real property, personal property, intangible property, transfer, fuel, excise, accumulated earnings, personal holding company, unemployment compensation, social security, withholding taxes, payroll taxes, or any other tax of any nature whatsoever, (ii) any foreign, federal, state or local organization fee, qualification fee, annual report fee, filing fee, occupation fee, assessment, rent, or any other fee or charge of any nature whatsoever, or (iii) any deficiency, interest or penalty imposed with respect to any of the foregoing.</w:t>
            </w:r>
          </w:p>
        </w:tc>
      </w:tr>
    </w:tbl>
    <w:p>
      <w:pPr>
        <w:pStyle w:val="TextBody"/>
        <w:bidi w:val="0"/>
        <w:spacing w:before="0" w:after="0"/>
        <w:ind w:left="1080" w:right="0" w:hanging="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38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39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Agent” means Transhare Corporation.</w:t>
            </w:r>
          </w:p>
        </w:tc>
      </w:tr>
    </w:tbl>
    <w:p>
      <w:pPr>
        <w:pStyle w:val="TextBody"/>
        <w:bidi w:val="0"/>
        <w:spacing w:before="0" w:after="0"/>
        <w:ind w:left="1080" w:right="0" w:hanging="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38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77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 Documents” means this Agreement, and other documents related this transaction.</w:t>
            </w:r>
          </w:p>
        </w:tc>
      </w:tr>
    </w:tbl>
    <w:p>
      <w:pPr>
        <w:pStyle w:val="TextBody"/>
        <w:bidi w:val="0"/>
        <w:spacing w:before="0" w:after="0"/>
        <w:ind w:left="720" w:right="0" w:hanging="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38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62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means United States generally accepted accounting principles.</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INTERPRETATION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the express context otherwise requires: (i) the words “herein,” “hereof” and “hereunder” and words of similar import refer to this Agreement as a whole and not to any particular provision of this Agreement; (ii) references to the words “Article” or “Section” refer to the respective Articles and Sections of this Agreement, and references to “Exhibit” refer to the Exhibits annexed hereto; (iii) references to a “party” mean a party to this Agreement and include references to such party’s permitted successors and permitted assigns; (iv) references to a “third party” mean a Person not a party to this Agreement; (v) the terms “dollars” and “$” means U.S. dollars; (vi) wherever the word “include,” “includes,” or “including” is used in this Agreement, it will be deemed to be followed by the words “without limitation.”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PURCHASE AND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Sale and Issuance of Securities</w:t>
      </w:r>
      <w:r>
        <w:rPr>
          <w:rFonts w:ascii="Times New Roman;Times;Serif" w:hAnsi="Times New Roman;Times;Serif"/>
          <w:b w:val="false"/>
          <w:i w:val="false"/>
          <w:caps w:val="false"/>
          <w:smallCaps w:val="false"/>
          <w:sz w:val="20"/>
        </w:rPr>
        <w:t xml:space="preserve">. Subject to the terms and conditions of this Agreement, the Investors, severally and not jointly, agree to purchase, and the Company agrees to sell and issue to the Investors, an aggregate of $897,750.00 of Initial Shares and Pre-Funded Warrants,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purchase, sale, and issuance of the Securities (the “Closing”) shall be held remotely via electronic exchange of documents and take place at 10:00 a.m., New York time, on September 29, 2026, or a Business Day within five (5) days of the date hereof at such location as otherwise may be agreed to by the parties (including via exchange of electronic signatures) on which the conditions to the Closing set forth below are satisfied or waived (or such other date as is mutually agreed to by the Company and each Investor) (the “Closing Date”). As used in this Agreement,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a legal holiday or any other day on which commercial banks in the City of New York are authorized or required by law to remain closed; provided, however, for clarification, commercial banks shall not be deemed to be authorized or required by law to remain closed due to “stay-at-home,”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Form of Payment; Delivery</w:t>
      </w:r>
      <w:r>
        <w:rPr>
          <w:rFonts w:ascii="Times New Roman;Times;Serif" w:hAnsi="Times New Roman;Times;Serif"/>
          <w:b w:val="false"/>
          <w:i w:val="false"/>
          <w:caps w:val="false"/>
          <w:smallCaps w:val="false"/>
          <w:sz w:val="20"/>
        </w:rPr>
        <w:t>. Payments for the Subscription Amount will be made by each Investor by wire into the bank account designated by the Company and the Company shall issue the Securities to each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subject to the conditions precedent in Article VIII, the Company shall deliver or cause to be delivered to each Investor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Pre-Funded Warrants in the name of such Investors to purchase up to a number of Class A Ordinary Shares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with respect to each Investor;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Company’s wire instructions, on Company letterhead and executed by the Company’s Chief Executive Officer;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copy of the irrevocable instructions to the Transfer Agent instructing the Transfer Agent to deliver, on an expedited basis, a certificate (or book-entry statement) evidencing a number of Initial Shares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with respect to each Investor, registered in the name of such Investor, or, at the election of such Investor, evidence of the issuance of such Investor’s Initial Shares hereunder as held in DRS book-entry form by the Transfer Agent and registered in the name of such Investor, which evidence shall be reasonably satisfactory to such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subject to the conditions precedent in Article IX, each Investor shall deliver or cause to be delivered to the Company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Investor; and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Investor’s Subscription Amount by wire transfer to the account specified in writing by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INVESTOR’S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represents and warrants to the Company, that the statements contained in this Article V are true and correct as of the date hereof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Each Investor is acquiring the Securities for its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provided, however, that by making the representations herein, each Investor reserves the right to dispose of the Securities at any time in accordance with or pursuant to an effective registration statement covering such Securities or an available exemption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Investment Representations and Warranties</w:t>
      </w:r>
      <w:r>
        <w:rPr>
          <w:rFonts w:ascii="Times New Roman;Times;Serif" w:hAnsi="Times New Roman;Times;Serif"/>
          <w:b w:val="false"/>
          <w:i w:val="false"/>
          <w:caps w:val="false"/>
          <w:smallCaps w:val="false"/>
          <w:sz w:val="20"/>
        </w:rPr>
        <w:t xml:space="preserve">. Each Investor was offered the Securities hereby represents and warrants that it, as of the date of this Agreement, was and is an “accredited investor” within the meaning of Regulation D, 501(a) promulgated by the Commission under the Securities Act and has truthfully and accurately completed the Accredited Investor Certification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Agreement, as appropriate, and will submit to the Company such further assurances of such status as may be reasonably requested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Securities Not Registered; Legends</w:t>
      </w:r>
      <w:r>
        <w:rPr>
          <w:rFonts w:ascii="Times New Roman;Times;Serif" w:hAnsi="Times New Roman;Times;Serif"/>
          <w:b w:val="false"/>
          <w:i w:val="false"/>
          <w:caps w:val="false"/>
          <w:smallCaps w:val="false"/>
          <w:sz w:val="20"/>
        </w:rPr>
        <w:t>. Each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Each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Each Investor acknowledges and agrees that it has been advised to consult legal counsel prior to making any offer, resale, transfer, pledge or disposition of any of the Securities. Each Investor acknowledges that no federal or state agency has passed upon or endorsed the merits of the offering of the Securities or made any findings or determination as to the fairness of this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understands that any certificates or book entry notations evidencing the Securities may bear one or more legends in substantially the following form and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may contain a legend regarding affiliate status of the Investor,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Investor and its advisors, if any, have been furnished with all materials relating to the business, finances and operations of the Company and other information each Investor deemed material to making an informed investment decision regarding its purchase of the Securities which have been requested by each Investor. Each Investor acknowledges that Investor has reviewed the SEC Documents, which are available on the SEC’s website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at no charge to each Investor. Each Investor acknowledges that the Investor may retrieve all SEC Documents from such website and each Investor’s access to such SEC Documents through such website shall constitute delivery of the SEC Documents to each Investor. Each Investor and Investor’s advisors, if any, have been afforded the opportunity to ask questions of the Company and its management. Each Investor understands that Investor’s investment in the Securities involves a high degree of risk. Each Investor is financially sophisticated sufficiently to evaluate the merits and risks of this investment. Each Investor has sought such accounting, legal, and tax advice as Investor has considered necessary to make an informed investment decision with respect to its acquisition of the Securities. Without limiting the foregoing, each Investor has carefully considered the potential risks relating to the Company and a purchase of the Securities, including those risks described in the SEC Documents, and Investor fully understands that the Securities are a speculative investment that involves a high degree of risk of loss of each Investor’s entire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Each Investor understands that no United States federal or state Governmental Authority has passed on or made any recommendation or endorsement of the Securities, or the fairness or suitability of the investment in the Securities, nor have such Governmental Authorities passed upon or endorsed the merits of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executed and delivered on behalf of each Investor and is a valid and binding agreement of the each Investor, enforceable in accordance with its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Each Investor is not purchasing the Securities as a result of any advertisement, article, notice or other communication published in any newspaper, magazine or similar media or broadcast over television or radio or presented at any seminar or any other general solicitation or general advertisement. Each Investor represents that it has a relationship with the Company preceding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Organization and Authority of Investor</w:t>
      </w:r>
      <w:r>
        <w:rPr>
          <w:rFonts w:ascii="Times New Roman;Times;Serif" w:hAnsi="Times New Roman;Times;Serif"/>
          <w:b w:val="false"/>
          <w:i w:val="false"/>
          <w:caps w:val="false"/>
          <w:smallCaps w:val="false"/>
          <w:sz w:val="20"/>
        </w:rPr>
        <w:t>. Each Investor is an individual or is duly organized, validly existing and in good standing under the laws of its jurisdiction of formation or incorporation. Each Investor has all necessary power and authority to enter into this Agreement, to carry out its obligations hereunder and to consummate the transactions contemplated hereby. The execution and delivery by each Investor of this Agreement, the performance by each Investor of its obligations hereunder, and the consummation by each Investor of the transactions contemplated hereby have been duly authorized by all requisite action on the part of each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 The execution, delivery and performance by Investor of this Agreement, and the consummation of the transactions contemplated hereby, do not and will not: (a) violate or conflict with any provision of the certificate of formation, limited liability company agreement, or other governing documents of Investor; (b) violate or conflict with any provision of any Law or Governmental Authority applicable to Investor; (c) require the consent, notice or other action by any Person under, violate or conflict with, or result in the acceleration of any agreement to which Investor is a party; or (d) require any consent, permit, Governmental Authority, filing or notice from, with or to any Governmental Authority; except, in the cases of clauses (b) and (c), where the violation, conflict, acceleration or failure to obtain consent or give notice would not have a material adverse effect on each Investor’s ability to consummate the transactions contemplated hereby and, in the case of clause (d), where such consent, permit, Governmental Authority’s order, filing or notice which, in the aggregate, would not have a material adverse effect on each Investor’s ability to consummate the transactions contemplated hereby.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Investor has not, nor has any Person acting on behalf of or pursuant to any understanding with Investor, directly or indirectly executed any purchases or sales, including short sales, of the securities of the Company during the period commencing as of the time that Investor first received a term sheet (written or oral) from the Company or any other Person representing the Company setting forth the material terms, which terms include definitive pricing terms, of the transactions contemplated hereunder and ending immediately prior to the execution hereof. Other than to other Persons party to this Agreement or to Investor’s representatives, including, without limitation, its officers, directors, partners, legal and other advisors, employees, agents and Affiliates, Investor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order to effect Short Sales or similar transactions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Independent Advice</w:t>
      </w:r>
      <w:r>
        <w:rPr>
          <w:rFonts w:ascii="Times New Roman;Times;Serif" w:hAnsi="Times New Roman;Times;Serif"/>
          <w:b w:val="false"/>
          <w:i w:val="false"/>
          <w:caps w:val="false"/>
          <w:smallCaps w:val="false"/>
          <w:sz w:val="20"/>
        </w:rPr>
        <w:t>. Each Investor understands that nothing in this Agreement or any other materials presented by or on behalf of the Company to each Investor in connection with the purchase of the Securities constitutes legal, tax or investment advice. The Investor has consulted such legal, tax and investment advisors as it, in the Investor’s sole discretion, has deemed necessary or appropriate in connection with its purchase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No Brokers or Finders</w:t>
      </w:r>
      <w:r>
        <w:rPr>
          <w:rFonts w:ascii="Times New Roman;Times;Serif" w:hAnsi="Times New Roman;Times;Serif"/>
          <w:b w:val="false"/>
          <w:i w:val="false"/>
          <w:caps w:val="false"/>
          <w:smallCaps w:val="false"/>
          <w:sz w:val="20"/>
        </w:rPr>
        <w:t>. Neither Investor nor any of its Affiliates has retained, utilized or been represented by, or otherwise become obligated to, any broker, placement agent, financial advisor or finder in connection with the transactions contemplated by this Agreement whose fees the Company would be required to pay.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Any resale of the Initial Shares and/or the Pre-Funded Warrant Shares in any jurisdiction outside of the United States will be made in compliance with the securities laws of such jurisdiction. The Investor will not offer to sell or sell the Securities in any jurisdiction unless the Investor obtains all required consents, if any. The Investor acknowledges that the Investor is familiar with Rule 144 and has been advised that Rule 144 permits resales only under certain circumstances. The Investor understands that to the extent that Rule 144 is not available, the Investor will be unable to sell any Initial Shares and/or the Pre-Funded Warrant Shares without either registration under the Securities Act or the existence of another exemption from such registration requirement.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Reliance on Representations and Warranties</w:t>
      </w:r>
      <w:r>
        <w:rPr>
          <w:rFonts w:ascii="Times New Roman;Times;Serif" w:hAnsi="Times New Roman;Times;Serif"/>
          <w:b w:val="false"/>
          <w:i w:val="false"/>
          <w:caps w:val="false"/>
          <w:smallCaps w:val="false"/>
          <w:sz w:val="20"/>
        </w:rPr>
        <w:t>. The Investor acknowledges that the Company is entitled to rely on the representations and warranties of the Investor set forth in this Agreement and will hold the Company harmless for any loss or damage that the Company may suffer as a result of any such representations are warranties not being true and correct.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Not a Broker-Dealer</w:t>
      </w:r>
      <w:r>
        <w:rPr>
          <w:rFonts w:ascii="Times New Roman;Times;Serif" w:hAnsi="Times New Roman;Times;Serif"/>
          <w:b w:val="false"/>
          <w:i w:val="false"/>
          <w:caps w:val="false"/>
          <w:smallCaps w:val="false"/>
          <w:sz w:val="20"/>
        </w:rPr>
        <w:t>. The Investor is neither a registered representative under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a member of FINRA or associated or affiliated (as defined below) with any member of FINRA, nor a broker-dealer registered with the SEC under the Exchange Act or engaged in a business that would require it to be so registered, nor is it an Affiliate of a broker-dealer or any Person engaged in a business that would require it to be registered as a broker-dealer. In the event the Investor is a member of FINRA, or associated or affiliated with a member of FINRA, the Investor agrees, if requested by FINRA, to sign a lock-up, the form of which shall be satisfactory to FINRA with respect to the Initial Shares and/or the Pre-Funded Warrant Shares. As used herein, “Affiliate” means, with respect to any specified Person: (i) if such Person is an individual, the spouse of that Person and, if deceased or disabled, its heirs, executors, or legal representatives, if applicable, or any trusts for the benefit of such individual or such individual’s spouse and/or lineal descendants, or (ii) another Person that directly, or indirectly through one or more intermediaries, controls, is controlled by, or is under common control with, the Person specified. As used in this definition, “control” shall mean the possession, directly or indirectly, of the power to cause the direction of the management and policies of a Person, whether through the ownership of voting securities or by contract or other written instrument.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 individual, entity, corporation, partnership, association, limited liability company, limited liability partnership, joint-stock company, trust or unincorporated organization.</w:t>
      </w:r>
    </w:p>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Not an Underwriter</w:t>
      </w:r>
      <w:r>
        <w:rPr>
          <w:rFonts w:ascii="Times New Roman;Times;Serif" w:hAnsi="Times New Roman;Times;Serif"/>
          <w:b w:val="false"/>
          <w:i w:val="false"/>
          <w:caps w:val="false"/>
          <w:smallCaps w:val="false"/>
          <w:sz w:val="20"/>
        </w:rPr>
        <w:t>. Such Investor is not an underwriter of the Securities, nor is it an Affiliate of an underwriter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Potential Loss of Investment; Risk Factors</w:t>
      </w:r>
      <w:r>
        <w:rPr>
          <w:rFonts w:ascii="Times New Roman;Times;Serif" w:hAnsi="Times New Roman;Times;Serif"/>
          <w:b w:val="false"/>
          <w:i w:val="false"/>
          <w:caps w:val="false"/>
          <w:smallCaps w:val="false"/>
          <w:sz w:val="20"/>
        </w:rPr>
        <w:t>. The Investor understands that an investment in the Securities is highly speculative which involves a significant degree of risk and the potential loss of the Investor’s entire investment. The Investor has considered carefully and understands the risks associated with an investment in the Securities, including those risk factors contained in the SEC Reports.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of its subsidiaries (“Subsidiaries”) each hereby makes the following representations and warranties to each Investor as of the Effective Date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has been duly incorporated and is validly existing as a domestic Company and is in good standing under the laws of Cayman Islands as of the date hereof, and each Subsidiary is duly qualified to do business and is in good standing in each other jurisdiction in which its ownership or lease of property or the conduct of business requires such qualification.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direct and indirect Subsidiaries of the Company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material adverse effect on the assets, business or operations of the Company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hereof is as set forth on its most recently filed/furnished report under the Exchange Act, which shall also include the number of Ordinary Shares owned beneficially, and of record, by Affiliates of the Company as of the date hereof. Except as set forth on the SEC Documents, the Company has not issued any capital stock since its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the SEC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shares of any Subsidiary. The issuance and sale of the Securities will not obligate the Company or any Subsidiary to issue Ordinary Shares or other securities to any Person (other than the Investors).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Securities.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Valid Issuance of Outstanding Securities</w:t>
      </w:r>
      <w:r>
        <w:rPr>
          <w:rFonts w:ascii="Times New Roman;Times;Serif" w:hAnsi="Times New Roman;Times;Serif"/>
          <w:b w:val="false"/>
          <w:i w:val="false"/>
          <w:caps w:val="false"/>
          <w:smallCaps w:val="false"/>
          <w:sz w:val="20"/>
        </w:rPr>
        <w:t>. All issued and outstanding securities of the Company issued prior to the transactions contemplated by this Agreement have been duly authorized and validly issued and are fully paid;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authorized shares of Ordinary Share conform in all material respects to all statements relating thereto contained in the SEC Documents. The offers and sales of the outstanding shares of Ordinary Share were at all relevant times either registered under the Securities Act and the applicable state securities or, based in part on the representations and warranties of the Investors of such shares, exempt from such registration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Company has all corporate power and authority to enter into this Agreement and to carry out the provisions and conditions hereof.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all ancillary documents,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Company’s amended and restated Certificate of Incorporation (as the same may be amended or restated from time to time, the “Charter”) of the Company; or (iii) violate any existing applicable law, rule, regulation, judgment, order or decree of any Governmental Authority as of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The Initial Shares being purchased by each Investor hereunder have been duly and validly authorized and, upon issuance pursuant to the terms of this Agreement against full payment therefor in accordance with the terms of this Agreement, will be duly and validly issued, fully paid; the Initial Shares are not and will not be subject to the preemptive rights of any holders of any security of the Company or similar contractual rights granted by the Company; and all corporate action required to be taken for the authorization, issuance and sale of the Initial Shares has been duly and validly taken.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the Pre-Funded Warrant Shares are not and will not be subject to the preemptive rights of any holders of any security of the Company or similar contractual rights granted by the Company; and all corporate action required to be taken for the authorization, issuance and sale of the Pre-Funded Warrant Shares has been duly and validly taken. The issuance and delivery of the Initial Shares and the Pre-Funded Warrants does not, and the exercise in full of the Pre-Funded Warrants and the issuance and delivery of the Pre-Funded Warrant Shares (as applicable) thereupon will not, (i) obligate the Company to offer to issue, or issue, Class A Ordinary Shares or other securities to any Person (other than the Investor) pursuant to any preemptive rights, rights of first refusal, rights of participation or similar rights, or (ii) result in any adjustment (automatic, at the election of any Person or otherwise) of the exercise, conversion, exchange or reset price under, or any other anti-dilution adjustment pursuant to, any outstanding securities of the Company. Assuming the accuracy of the representations and warranties of each Investor set forth in Article V above, the offer and sale by the Company of the Securities is exempt from: (i) the registration and prospectus delivery requirements of the Securities Act; and (ii) the registration and/or qualification provisions of all applicable state and provincial securities and “blue sky” laws.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Independent Registered Public Accounting Firm</w:t>
      </w:r>
      <w:r>
        <w:rPr>
          <w:rFonts w:ascii="Times New Roman;Times;Serif" w:hAnsi="Times New Roman;Times;Serif"/>
          <w:b w:val="false"/>
          <w:i w:val="false"/>
          <w:caps w:val="false"/>
          <w:smallCaps w:val="false"/>
          <w:sz w:val="20"/>
        </w:rPr>
        <w:t>. To the knowledge of the Company, FORTUNE CPA, INC (the “Auditors”), whose reports are filed with the Commission as part of the SEC Documents, is a registered independent public accounting firm as required by the Securities Act and the Public Company Accounting Oversight Board (the “PCAOB”) and is in good standing with the PCAOB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All agreements between the Company and third parties expressly referenced in the SEC Documents are legal, valid and binding Obligations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Other than as would not reasonably be expected to, individually or in the aggregate, have a Material Adverse Change, no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term or provision of its Charter, or in violation of any franchise, license, permit, applicable law, rule, regulation, judgment or decree of any Governmental Authority, which would individually or in the aggregate,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Except as disclosed in the SEC Documents and as would not reasonably be expected to, individually or in the aggregate, have a Material Adverse Change, each of the Company and its Subsidiaries: (A) is and at all times has been in compliance with all statutes, rules, or regulations applicable to Company’s business (“Applicable Laws”); (B) has not received any notice of adverse finding, warning letter, untitled letter or other correspondence or notice from any Governmental Authority alleging or asserting noncompliance with any Applicable Laws or any licenses, certificates, approvals, clearances, authorizations, permits and supplements or amendments thereto required by any such Applicable Laws (“Authorizations”);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business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in each case to the extent of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Subsequent to the SEC Documents, except as otherwise specifically stated therein: (i) there has been no material adverse change in the financial position or results of operations of the Company, nor any change or development that, singularly or in the aggregate, would involve a material adverse change or a prospective material adverse change, in or affecting the condition (financial or otherwise), results of operations, business, assets or prospects of the Company (a “Material Adverse Change”); (ii) there have been no material transactions entered into by the Company, other than as contemplated pursuant to this Agreement; and (iii) no officer or director of the Company has resigned from any position with the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included in the SEC Documents, including the notes thereto and supporting schedules included in the SEC Documents, fairly present the financial position and the results of operations of the Company at the dates and for the periods to which they apply; and such financial statements have been prepared in conformity with U.S. GAAP, consistently applied throughout the periods involved (provided that unaudited interim financial statements are subject to year-end audit adjustments that are not expected to be material in the aggregate and do not contain all footnotes required by U.S. GAAP); and the supporting schedules included in the SEC Documents present fairly the information required to be stated therein. Except as included therein, no historical or pro forma financial statements are required to be included in the SEC Documents under the Securities Act. The pro forma and pro forma as adjusted financial information and the related notes, if any, included in the SEC Documents have been properly compiled and prepared in accordance with the applicable requirements of the Securities Act and present fairly the information shown therein, and the assumptions used in the preparation thereof are reasonable and the adjustments used therein are appropriate to give effect to the transactions and circumstances referred to therein. Each of the SEC Documents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SEC Documents, (a) neither the Company nor any of its direct and indirect subsidiaries, including each entity disclosed or described in the SEC Documents as being a Subsidiary, has incurred any material liabilities or obligations, direct or contingent, or entered into any material transactions other than in the ordinary course of business, (b) the Company has not declared or paid any dividends or made any distribution of any kind with respect to its Ordinary Shares or any other equity securities, (c) there has not been any change in the Ordinary Shares of the Company or any of its Subsidiaries, or, other than in the course of business, any grants under any stock compensation plan, and (d) there has not been any Material Adverse Change in the Company’s long-term or short-term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Consents and Permits</w:t>
      </w:r>
      <w:r>
        <w:rPr>
          <w:rFonts w:ascii="Times New Roman;Times;Serif" w:hAnsi="Times New Roman;Times;Serif"/>
          <w:b w:val="false"/>
          <w:i w:val="false"/>
          <w:caps w:val="false"/>
          <w:smallCaps w:val="false"/>
          <w:sz w:val="20"/>
        </w:rPr>
        <w:t>. Except as described in the SEC Documents,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SEC Documents (collectively, “Permits”), except for such Permits the failure of which to possess, obtain or make the same would not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xml:space="preserve">. Other than as would not reasonably be expected to, individually or in the aggregate, have a Material Adverse Change, the Company and each of its Subsidiaries own or possesses or have valid rights to use all patents, patent applications, trademarks, service marks, trade names, trademark registrations, service mark registrations, copyrights, licenses, inventions, trade secrets and similar rights (“Intellectual Property Rights”) necessary for the conduct of the business of the Company and its Subsidiaries as currently carried on and as described in the SEC Documents. To the knowledge of the Company, no action or use by the Company or any of its Subsidiaries necessary for the conduct of its business as currently carried on and as described in the SEC Documents will involve or give rise to any infringement of, or license or similar fees for, any Intellectual Property Rights of others.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(A) there is no infringement, misappropriation or violation by third parties of any of the Intellectual Property Rights owned by the Company; (B) there is no pending or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reasonably be expected to result in a Material Adverse Change; (C) the Intellectual Property Rights owned by the Company and the Intellectual Property Rights licensed to the Company have not been adjudged by a court of competent jurisdiction invalid or unenforceable, in whole or in part, and there is no pending or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reasonably be expected to result in a Material Adverse Change; (D) there is no pending or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in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reasonably be expected to result in a Material Adverse Change; and (E) to the knowledge of the Company,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All material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SEC Documents and are not described therein. The SEC Documents contain in all material respects the same description of the matters set forth in the preceding sentence. None of the technology employed by the Company has been obtained or is being used by the Company in violation of any contractual obligation binding on the Company or any of its officers, directors or employees, or otherwise in violation of the rights of any persons.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Company and its Subsidiaries has filed all returns (as hereinafter defined) required to be filed with taxing authorities prior to the date hereof or has duly obtained extensions of time for the filing thereof. Each of the Company and its Subsidiaries has paid all taxes (as hereinafter defined) shown as due on such returns that were filed and has paid all taxes imposed on or assessed against the Company or such respective Subsidiary. The provisions for taxes payable, if any, shown on the financial statements filed with or as part of the SEC Documents are sufficient for all accrued and unpaid taxes, whether or not disputed, and for all periods to and including the dates of such consolidated financial statements. Except as disclosed in writing to each Investor, (i) no issues have been raised (and are currently pending) by any taxing authority in connection with any of the returns or taxes asserted as due from the Company or its Subsidiaries, and (ii) no waivers of statutes of limitation with respect to the returns or collection of taxes have been given by or requested from the Company or its Subsidiaries.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“returns” means all returns, declarations, reports, statements and other documents required to be filed in respect to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6.17 </w:t>
      </w:r>
      <w:r>
        <w:rPr>
          <w:rFonts w:ascii="Times New Roman;Times;Serif" w:hAnsi="Times New Roman;Times;Serif"/>
          <w:b w:val="false"/>
          <w:i w:val="false"/>
          <w:caps w:val="false"/>
          <w:smallCaps w:val="false"/>
          <w:sz w:val="20"/>
          <w:u w:val="single"/>
        </w:rPr>
        <w:t>Accounting Controls</w:t>
      </w:r>
      <w:r>
        <w:rPr>
          <w:rFonts w:ascii="Times New Roman;Times;Serif" w:hAnsi="Times New Roman;Times;Serif"/>
          <w:b w:val="false"/>
          <w:i w:val="false"/>
          <w:caps w:val="false"/>
          <w:smallCaps w:val="false"/>
          <w:sz w:val="20"/>
        </w:rPr>
        <w:t>. The Company and its Subsidiaries maintain systems of “internal control over financial reporting” (as defined under Rules 13a-15 and 15d-15 under the Exchange Act) to the extent required by the 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Documents, the Company is not aware of any other material weaknesses in its internal controls. The Company’s Auditors and the Audit Committee of the Board of Directors of the Company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6.18 </w:t>
      </w:r>
      <w:r>
        <w:rPr>
          <w:rFonts w:ascii="Times New Roman;Times;Serif" w:hAnsi="Times New Roman;Times;Serif"/>
          <w:b w:val="false"/>
          <w:i w:val="false"/>
          <w:caps w:val="false"/>
          <w:smallCaps w:val="false"/>
          <w:sz w:val="20"/>
          <w:u w:val="single"/>
        </w:rPr>
        <w:t>Sarbanes-Oxley 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Except as set forth in the SEC Documents, the Company has developed and currently maintains disclosure controls and procedures that will comply with Rule 13a-15 or 15d-15 under the Exchange Act, and such controls and procedures are effective to ensure that all material information concerning the Company will be made known on a timely basis to the individuals responsible for the preparation of the Company’s Exchange Act filings and other public disclosure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The Company has been, and on the Closing Date, will be, in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6.19 </w:t>
      </w:r>
      <w:r>
        <w:rPr>
          <w:rFonts w:ascii="Times New Roman;Times;Serif" w:hAnsi="Times New Roman;Times;Serif"/>
          <w:b w:val="false"/>
          <w:i w:val="false"/>
          <w:caps w:val="false"/>
          <w:smallCaps w:val="false"/>
          <w:sz w:val="20"/>
          <w:u w:val="single"/>
        </w:rPr>
        <w:t>No Labor Disputes</w:t>
      </w:r>
      <w:r>
        <w:rPr>
          <w:rFonts w:ascii="Times New Roman;Times;Serif" w:hAnsi="Times New Roman;Times;Serif"/>
          <w:b w:val="false"/>
          <w:i w:val="false"/>
          <w:caps w:val="false"/>
          <w:smallCaps w:val="false"/>
          <w:sz w:val="20"/>
        </w:rPr>
        <w:t>. No labor dispute with the employees of the Company or any of its Subsidiaries, which are expected to have a material adverse effect on the Company, exists or is, to the Company’s knowledge, imminent.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6.20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and, will not be, either after receipt of payment for the Subscription Amount or after the application of the proceeds hereof, required to register as an “investment company,” as defined in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6.21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None of the Company and its Subsidiaries or any director, officer, agent, employee or affiliate of the Company and its Subsidiaries or any other person acting on behalf of the Company and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Change or (iii) if not continued in the future, might adversely affect the assets, business, operations or prospects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6.22 </w:t>
      </w:r>
      <w:r>
        <w:rPr>
          <w:rFonts w:ascii="Times New Roman;Times;Serif" w:hAnsi="Times New Roman;Times;Serif"/>
          <w:b w:val="false"/>
          <w:i w:val="false"/>
          <w:caps w:val="false"/>
          <w:smallCaps w:val="false"/>
          <w:sz w:val="20"/>
          <w:u w:val="single"/>
        </w:rPr>
        <w:t>Compliance with OFAC</w:t>
      </w:r>
      <w:r>
        <w:rPr>
          <w:rFonts w:ascii="Times New Roman;Times;Serif" w:hAnsi="Times New Roman;Times;Serif"/>
          <w:b w:val="false"/>
          <w:i w:val="false"/>
          <w:caps w:val="false"/>
          <w:smallCaps w:val="false"/>
          <w:sz w:val="20"/>
        </w:rPr>
        <w:t>. None of the Company and its Subsidiaries or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(“OFAC”), the United Nations Security Council, the European Union, Her Majesty’s Treasury or other relevant sanctions authority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6.23 </w:t>
      </w:r>
      <w:r>
        <w:rPr>
          <w:rFonts w:ascii="Times New Roman;Times;Serif" w:hAnsi="Times New Roman;Times;Serif"/>
          <w:b w:val="false"/>
          <w:i w:val="false"/>
          <w:caps w:val="false"/>
          <w:smallCaps w:val="false"/>
          <w:sz w:val="20"/>
          <w:u w:val="single"/>
        </w:rPr>
        <w:t>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not a party to, or bound by, any collective bargaining or other agreement with a labor organization representing any of its employees. During the recent two fiscal years, there has not been, nor, to the Company’s knowledge, has there been any threat of, any strike, slowdown, work stoppage, picketing or other similar labor disruption or dispute affecting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in material compliance with all applicable Laws pertaining to employment and employment practices to the extent they relate to employees of the Company. There are no actions against the Company pending, or to the Company’s knowledge, threatened to be brought or filed, by or with any Governmental Authority or arbitral tribunal in connection with the employment or termination of employment of any current or former employee of the Company, including, without limitation, any action relating to unfair labor practices, employment discrimination, harassment, retaliation, leave, accommodation, minimum wages, overtime compensation, hazardous work conditions, equal pay or any other hiring, employment or employment termination related matter arising under applicable Laws.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representations and warranties set forth in this </w:t>
      </w:r>
      <w:r>
        <w:rPr>
          <w:rFonts w:ascii="Times New Roman;Times;Serif" w:hAnsi="Times New Roman;Times;Serif"/>
          <w:b w:val="false"/>
          <w:i w:val="false"/>
          <w:caps w:val="false"/>
          <w:smallCaps w:val="false"/>
          <w:sz w:val="20"/>
          <w:u w:val="single"/>
        </w:rPr>
        <w:t>Section 6.23</w:t>
      </w:r>
      <w:r>
        <w:rPr>
          <w:rFonts w:ascii="Times New Roman;Times;Serif" w:hAnsi="Times New Roman;Times;Serif"/>
          <w:b w:val="false"/>
          <w:i w:val="false"/>
          <w:caps w:val="false"/>
          <w:smallCaps w:val="false"/>
          <w:sz w:val="20"/>
        </w:rPr>
        <w:t xml:space="preserve"> are the Company’s sole and exclusive representations and warranties regarding employment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6.24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Except with respect to the material terms and conditions of the transactions contemplated under this Agreement, the Company confirms that neither it nor any other Person acting on its behalf has provided Investor or their agents or counsel with any information that it believes constitutes or might constitute material, non-public information which is not otherwise disclosed in the Company’s public filings. The Company understands and confirms that Investor will rely on the foregoing representation in effecting transactions in securities of the Company. All of the disclosure furnished by or on behalf of the Company to Investor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Company acknowledges and believes, to its best knowledge, that Investor does not make or have made any representations or warranties with respect to the transactions contemplated hereby other than those specifically set forth in </w:t>
      </w:r>
      <w:r>
        <w:rPr>
          <w:rFonts w:ascii="Times New Roman;Times;Serif" w:hAnsi="Times New Roman;Times;Serif"/>
          <w:b w:val="false"/>
          <w:i w:val="false"/>
          <w:caps w:val="false"/>
          <w:smallCaps w:val="false"/>
          <w:sz w:val="20"/>
          <w:u w:val="single"/>
        </w:rPr>
        <w:t>Section V</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6.25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Assuming the accuracy of Investor’s representations and warranties set forth in </w:t>
      </w:r>
      <w:r>
        <w:rPr>
          <w:rFonts w:ascii="Times New Roman;Times;Serif" w:hAnsi="Times New Roman;Times;Serif"/>
          <w:b w:val="false"/>
          <w:i w:val="false"/>
          <w:caps w:val="false"/>
          <w:smallCaps w:val="false"/>
          <w:sz w:val="20"/>
          <w:u w:val="single"/>
        </w:rPr>
        <w:t>Section V</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that would require the registration of the Securities under the Securities Act, or (ii) any applicable shareholder approval provisions of any trading market on which any of the securities of the Company are listed or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6.26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6.27 </w:t>
      </w:r>
      <w:r>
        <w:rPr>
          <w:rFonts w:ascii="Times New Roman;Times;Serif" w:hAnsi="Times New Roman;Times;Serif"/>
          <w:b w:val="false"/>
          <w:i w:val="false"/>
          <w:caps w:val="false"/>
          <w:smallCaps w:val="false"/>
          <w:sz w:val="20"/>
          <w:u w:val="single"/>
        </w:rPr>
        <w:t>No Brokers or Finders</w:t>
      </w:r>
      <w:r>
        <w:rPr>
          <w:rFonts w:ascii="Times New Roman;Times;Serif" w:hAnsi="Times New Roman;Times;Serif"/>
          <w:b w:val="false"/>
          <w:i w:val="false"/>
          <w:caps w:val="false"/>
          <w:smallCaps w:val="false"/>
          <w:sz w:val="20"/>
        </w:rPr>
        <w:t>. None of the Company or any of its Subsidiaries has retained, utilized or been represented by, or otherwise become obligated to, any broker, placement agent, financial advisor or finder in connection with the transactions contemplated by any of the Transaction Documents whose fees the Investors would be required to pay.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6.28 </w:t>
      </w:r>
      <w:r>
        <w:rPr>
          <w:rFonts w:ascii="Times New Roman;Times;Serif" w:hAnsi="Times New Roman;Times;Serif"/>
          <w:b w:val="false"/>
          <w:i w:val="false"/>
          <w:caps w:val="false"/>
          <w:smallCaps w:val="false"/>
          <w:sz w:val="20"/>
          <w:u w:val="single"/>
        </w:rPr>
        <w:t>Bad Actor Disqualification</w:t>
      </w:r>
      <w:r>
        <w:rPr>
          <w:rFonts w:ascii="Times New Roman;Times;Serif" w:hAnsi="Times New Roman;Times;Serif"/>
          <w:b w:val="false"/>
          <w:i w:val="false"/>
          <w:caps w:val="false"/>
          <w:smallCaps w:val="false"/>
          <w:sz w:val="20"/>
        </w:rPr>
        <w:t>. None of the Company, any predecessor or affiliated issuer of the Company nor, to the Company’s knowledge, any director or executive officer of the Company or any promoter connected with the Company in any capacity, is subject to any of the “bad actor” disqualifications within the meaning of Rule 506(d) under the 1933 Act, except for a disqualification event covered by Rule 506(d)(2) or (d)(3). The Company has complied, to the extent applicable, with any disclosure obligations under Rule 506(e) under the 1933 Act.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Each party shall use its best efforts to timely satisfy each of the conditions as provided in Articles VIII and IX of this Agreement prior to the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Affirmative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Reporting Status; Listing</w:t>
      </w:r>
      <w:r>
        <w:rPr>
          <w:rFonts w:ascii="Times New Roman;Times;Serif" w:hAnsi="Times New Roman;Times;Serif"/>
          <w:b w:val="false"/>
          <w:i w:val="false"/>
          <w:caps w:val="false"/>
          <w:smallCaps w:val="false"/>
          <w:sz w:val="20"/>
        </w:rPr>
        <w:t>. Until the earlier of one (1) year from the date hereof or when the Initial Shares and/or the Pre-Funded Warrant Shares are no longer registered in the names of each Investor on the books and records of the Company, the Company shall make reasonable best efforts to: (i) file in a timely manner all reports required to be filed under the Securities Act, the Exchange Act or any securities Laws and regulations thereof applicable to the Company of any state of the United States, or by the rules and regulations of the Principal Trading Market, and, if not otherwise publicly available, to provide a copy thereof to an Investor upon request; (ii) not terminate its status as an issuer required to file reports under the Exchange Act even if the Exchange Act or the rules and regulations thereunder would otherwise permit such termination unless in connection with a Sale Event (as defined below); (iii) if required by the rules and regulations of the Principal Trading Market, promptly secure the listing of any of the Initial Shares and/or the Pre-Funded Warrant Shares upon the Principal Trading Market (subject to official notice of issuance) and, take all action under its control to maintain the continued listing, quotation and trading of its Class A Ordinary Shares on the Principal Trading Market, and the Company shall comply in all respects with the Company’s reporting, filing and other Obligations under the bylaws or rules of the Principal Trading Market, FINRA, and such other Governmental Authorities,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sale, assignment, transfer or other disposition of the Initial Shares or the Pre-Funded Warrant Shares by the Investors pursuant to Rule 144 or pursuant to any other exemption under the Securities Act such that the purchaser acquires freely tradable shares and upon compliance by the Investor with the requirements of this Agreement, if requested by the Investors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Investors customary representations and other documentation reasonably acceptable to the Company in connection therewith.</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receipt from the Investor by the Company and the Transfer Agent of customary representations and other documentation reasonably acceptable to the Company and the Transfer Agent in connection therewith, upon the earliest of such time as the Initial Shares or the Pre-Funded Warrant Shares (i) have been sold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and as soon as reasonably practicable following any request therefor from the Investors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If applicable, the Company agrees to file a Form D with respect to the Securities if required under Regulation D and to provide a copy thereof to the Investor promptly after such filing. The Company shall, on or before the Closing Date, take such action as the Company shall reasonably determine is necessary to qualify the Securities for sale to the Investor at the applicable closing pursuant to this Agreement under applicable securities or “blue sky” laws of the states of the United States (or to obtain an exemption from such qualification), and shall provide evidence of any such action so taken to the Investor on or prior to the Closing Date.</w:t>
      </w:r>
    </w:p>
    <w:p>
      <w:pPr>
        <w:pStyle w:val="TextBody"/>
        <w:bidi w:val="0"/>
        <w:spacing w:before="0" w:after="0"/>
        <w:ind w:left="0" w:right="0" w:firstLine="10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CONDITIONS PRECEDENT TO THE COMPANY’S OBLIGATIONS TO SELL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the Company hereunder to issue and sell the Securities to each Investor at the Closing is subject to the satisfaction, at or before the Closing Date, of each of the following conditions, provided that these conditions are for the Company’s sole benefit and may be waived by the Company at any time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Each Investor shall have executed this Agreement, and delivered it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Each Investor shall have paid the purchase price to the Company in accordance with the terms and conditions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Each Investor’s representations and warranties shall be true and correct in all material respects as of the date when made and as of the applicable Closing Date as though made at that time (except for representations and warranties that speak as of a specific date), and each Investor shall have performed, satisfied and complied in all material respects with the covenants, agreements and conditions required by this Agreement to be performed, satisfied or complied with by each Investor at or prior to the applicable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The Company shall have obtained all governmental, regulatory or third-party consents and approvals necessary for the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No statute, rule, regulation, executive order, decree, ruling or injunction shall have been enacted, entered, promulgated or endorsed by any court or Governmental Authority of competent jurisdiction that prohibits the consummation of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Trading in the Class A Ordinary Shares shall not have been suspended by the SEC or any Principal Trading Market (except for any suspensions of trading of not more than one trading day solely to permit dissemination of material information regarding the Company) at any time since the date of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EACH INVESTOR’S OBLIGATIONS TO PURCHASE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each Investor hereunder to purchase the Securities at the Closing is subject to the satisfaction, at or before the Closing Date, of each of the following conditions (in addition to any other conditions precedent elsewhere in this Agreement), provided that these conditions are for each Investor’s sole benefit and may be waived by each Investor at any time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The Company shall have executed this Agreement and delivered the same to each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The representations and warranties of the Company and each of the Subsidiaries shall be true and correct in all material respects (except to the extent that any of such representations and warranties are already qualified as to materiality in Article VI above, in which case, such representations and warranties shall be true and correct in all respects without further qualification) as of the date when made and as of the Closing Date as though made at that time (except for representations and warranties that speak as of a specific date) and the Company and each of the Subsidiaries shall have performed, satisfied and complied in all material respects with the covenants, agreements and conditions required by this Agreement to be performed, satisfied or complied with by the Company and the Subsidiaries at or prior to the Closing Date.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No event shall have occurred which could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On the Closing Date, the Company shall have delivered all the deliverables set forth in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to the other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br/>
        <w:t>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obligations of the Company, on one hand, and the Investors, on the other hand, to effect the Closing shall terminate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mutual written consent of the Company and all the Investors;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the Company if the Closing has not occurred on or prior to the Closing Date;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the Company or any Investor (with respect to itself only) if the other party breaches any of its representations, warranties, covenants, or agreements contained in this Agreement or the other Transaction Documents, provided that the terminating party has not breached the Agreement and other Transaction Documents.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Consequences of Termination</w:t>
      </w:r>
      <w:r>
        <w:rPr>
          <w:rFonts w:ascii="Times New Roman;Times;Serif" w:hAnsi="Times New Roman;Times;Serif"/>
          <w:b w:val="false"/>
          <w:i w:val="false"/>
          <w:caps w:val="false"/>
          <w:smallCaps w:val="false"/>
          <w:sz w:val="20"/>
        </w:rPr>
        <w:t>. Nothing in Article X of this Agreement shall release any party from any liability for breach by such party of the terms and provisions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b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Subject to the other terms and conditions of this Article XI, from and after the Closing, the Company will indemnify and hold each Investor and its directors, officers, shareholders, members, partners, employees and agents (and any other Persons with a functionally equivalent role of a Person holding such titles notwithstanding a lack of such title or any other title), each Person who controls such Investor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“Investor Party”) harmless from any and all losses, liabilities, obligations, claims, contingencies, damages, costs and expenses, including all judgments, amounts paid in settlements, court costs and reasonable attorneys’ fees and costs of investigation (collectively, “Losses”) that any such Investor Party may suffer or incur as a result of or relating to any breach of any of the representations, warranties, covenants or agreements made by the Company in this Agreement or in the other Transaction Documents (unless such action is solely based upon a material breach of such Investor Party’s representations, warranties or covenants under the Transaction Documents or any agreements or understandings such Investor Party may have with any such shareholder or any violations by such Investor Party of state or federal securities laws or any conduct by such Investor Party which is finally judicially determined to constitute fraud, gross negligence or willful misconduct). If any action shall be brought against any Investor Party in respect of which indemnity may be sought pursuant to this Agreement, such Investor Party shall promptly notify the Company in writing, and the Company shall have the right to assume the defense thereof with counsel of its own choosing reasonably acceptable to each Investor Party. Any Investor Party shall have the right to employ separate counsel in any such action and participate in the defense thereof, but the fees and expenses of such counsel shall be at the expense of such Investor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Investor Party, in which case the Company shall be responsible for the reasonable fees and expenses of no more than one such separate counsel. The Company will not be liable to any Investor Party under this Agreement (y) for any settlement by an Investor Party effected without the Company’s prior written consent, which shall not be unreasonably withheld or delayed; or (z) to the extent, but only to the extent that a loss, claim, damage or liability is attributable to any Investor Party’s breach of any of the representations, warranties, covenants or agreements made by such Investor Party in this Agreement or in the other Transaction Documents. The indemnity agreements contained herein shall be in addition to any cause of action or similar right of any Investor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Indemnification by Investor</w:t>
      </w:r>
      <w:r>
        <w:rPr>
          <w:rFonts w:ascii="Times New Roman;Times;Serif" w:hAnsi="Times New Roman;Times;Serif"/>
          <w:b w:val="false"/>
          <w:i w:val="false"/>
          <w:caps w:val="false"/>
          <w:smallCaps w:val="false"/>
          <w:sz w:val="20"/>
        </w:rPr>
        <w:t>. Subject to the other terms and conditions of this Article XI, from and after the Closing, Investor shall indemnify the Company against, and shall hold the Company harmless from and against, any and all Losses incurred or sustained by, or imposed upon, the Company based upon, arising out of or with respect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inaccuracy in or breach of any of the representations or warranties of Investor contained in this Agreement;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or non-fulfillment of any covenant, agreement or obligation to be performed by Investor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val="false"/>
          <w:i w:val="false"/>
          <w:caps w:val="false"/>
          <w:smallCaps w:val="false"/>
          <w:sz w:val="20"/>
          <w:u w:val="single"/>
        </w:rPr>
        <w:t>Certain Limitations</w:t>
      </w:r>
      <w:r>
        <w:rPr>
          <w:rFonts w:ascii="Times New Roman;Times;Serif" w:hAnsi="Times New Roman;Times;Serif"/>
          <w:b w:val="false"/>
          <w:i w:val="false"/>
          <w:caps w:val="false"/>
          <w:smallCaps w:val="false"/>
          <w:sz w:val="20"/>
        </w:rPr>
        <w:t xml:space="preserve">. The indemnification provided for in </w:t>
      </w:r>
      <w:r>
        <w:rPr>
          <w:rFonts w:ascii="Times New Roman;Times;Serif" w:hAnsi="Times New Roman;Times;Serif"/>
          <w:b w:val="false"/>
          <w:i w:val="false"/>
          <w:caps w:val="false"/>
          <w:smallCaps w:val="false"/>
          <w:sz w:val="20"/>
          <w:u w:val="single"/>
        </w:rPr>
        <w:t>Sections 11.2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11.3</w:t>
      </w:r>
      <w:r>
        <w:rPr>
          <w:rFonts w:ascii="Times New Roman;Times;Serif" w:hAnsi="Times New Roman;Times;Serif"/>
          <w:b w:val="false"/>
          <w:i w:val="false"/>
          <w:caps w:val="false"/>
          <w:smallCaps w:val="false"/>
          <w:sz w:val="20"/>
        </w:rPr>
        <w:t xml:space="preserve"> shall be subject to the following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amount of all Losses for which a party shall be liable pursuant to this Article XI shall not exceed the proceeds actually received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no event shall any party be liable to any other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by a party pursuant to this Article XI in respect of any Loss shall be limited to the amount of any liability or damage that remains after deducting therefrom any insurance proceeds and any indemnity, contribution or other similar payment received or reasonably expected to be received by the indemnified party in respect of any such claim. The indemnified party shall use its commercially reasonable efforts to recover under insurance policies or indemnity, contribution or other similar agreements for any Losses prior to seeking indemnification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indemnified party shall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br/>
        <w:t>MISCELLANEOUS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given or made pursuant to this Agreement shall be in writing and shall be deemed effectively given upon the earlier of actual receipt, or (a) personal delivery to the party to be notified, (b) when sent, if sent by electronic mail during normal business hours of the recipient, and if not sent during normal business hours, then on the recipient’s next Business Day, (c) two Business Days after having been sent by registered or certified mail, return receipt requested, postage prepaid, or (d) one Business Day after deposit with a nationally recognized overnight courier, freight prepaid, specifying next Business Day delivery, with written verification of receipt. All communications shall be sent to the respective parties at their electronic mail address or address as set forth below, or to such electronic mail address or address as subsequently modified by written notice given in accordance with this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9"/>
        <w:gridCol w:w="8341"/>
      </w:tblGrid>
      <w:tr>
        <w:trPr/>
        <w:tc>
          <w:tcPr>
            <w:tcW w:w="75"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to the Company, to</w:t>
            </w:r>
            <w:r>
              <w:rPr>
                <w:rFonts w:ascii="Times New Roman;Times;Serif" w:hAnsi="Times New Roman;Times;Serif"/>
                <w:b w:val="false"/>
                <w:i w:val="false"/>
                <w:caps w:val="false"/>
                <w:smallCaps w:val="false"/>
                <w:sz w:val="20"/>
              </w:rPr>
              <w:t>:</w:t>
            </w:r>
          </w:p>
        </w:tc>
        <w:tc>
          <w:tcPr>
            <w:tcW w:w="83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2009, Building A, Times Fortune World, No.1 Hangfeng Road, Fengtai District, Beijing, China 100070</w:t>
            </w:r>
          </w:p>
        </w:tc>
      </w:tr>
      <w:tr>
        <w:trPr/>
        <w:tc>
          <w:tcPr>
            <w:tcW w:w="75"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tc>
        <w:tc>
          <w:tcPr>
            <w:tcW w:w="83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83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hujiaqi12@126.com</w:t>
            </w:r>
          </w:p>
        </w:tc>
      </w:tr>
      <w:tr>
        <w:trPr/>
        <w:tc>
          <w:tcPr>
            <w:tcW w:w="75" w:type="dxa"/>
            <w:tcBorders/>
            <w:vAlign w:val="center"/>
          </w:tcPr>
          <w:p>
            <w:pPr>
              <w:pStyle w:val="TableContents"/>
              <w:bidi w:val="0"/>
              <w:spacing w:before="0" w:after="283"/>
              <w:jc w:val="left"/>
              <w:rPr/>
            </w:pPr>
            <w:r>
              <w:rPr/>
              <w:t> </w:t>
            </w:r>
          </w:p>
        </w:tc>
        <w:tc>
          <w:tcPr>
            <w:tcW w:w="17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to each Investor, to</w:t>
            </w:r>
            <w:r>
              <w:rPr>
                <w:rFonts w:ascii="Times New Roman;Times;Serif" w:hAnsi="Times New Roman;Times;Serif"/>
                <w:b w:val="false"/>
                <w:i w:val="false"/>
                <w:caps w:val="false"/>
                <w:smallCaps w:val="false"/>
                <w:sz w:val="20"/>
              </w:rPr>
              <w:t>:</w:t>
            </w:r>
          </w:p>
        </w:tc>
        <w:tc>
          <w:tcPr>
            <w:tcW w:w="83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based on the information set forth on the signature page to this Agreement attached hereto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documents delivered pursuant hereto, set forth all the promises, covenants, agreements, conditions and understandings between the parties hereto with respect to the subject matter hereof and thereof, and supersede all prior and contemporaneous agreements, understandings, inducements or conditions, expressed or implied, oral or written, except as contained herein; provided, however, except as explicitly stated herein, nothing contained in this Agreement shall (or shall be deemed to) (i) have any effect on any agreements each Investor has entered into with, or any instruments each Investor has received from, the Company prior to the date hereof with respect to any prior investment made by each Investor in the Company or (ii) waive, alter, modify or amend in any respect any Obligations of the Company, or any rights of or benefits to each Investor or any other Person, in any agreement entered into prior to the date hereof between or among the Company and each Investor, or any instruments each Investor received from the Company prior to the date hereof, and all such agreements and instruments shall continue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and any and all rights, duties and Obligations hereunder, shall not be assigned, transferred, delegated or sublicensed by the Company without the prior written consent of each Investor. Subject to the foregoing and except as otherwise provided herein, the provisions of this Agreement shall inure to the benefit of, and be binding upon, the successors, assigns, heirs, executors and administrators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12.4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be binding upon the parties hereto,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No provision of this Agreement may be amended other than by an instrument in writing signed by the Company and each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val="false"/>
          <w:i w:val="false"/>
          <w:caps w:val="false"/>
          <w:smallCaps w:val="false"/>
          <w:sz w:val="20"/>
          <w:u w:val="single"/>
        </w:rPr>
        <w:t>Gender and Use of Singular and Plural</w:t>
      </w:r>
      <w:r>
        <w:rPr>
          <w:rFonts w:ascii="Times New Roman;Times;Serif" w:hAnsi="Times New Roman;Times;Serif"/>
          <w:b w:val="false"/>
          <w:i w:val="false"/>
          <w:caps w:val="false"/>
          <w:smallCaps w:val="false"/>
          <w:sz w:val="20"/>
        </w:rPr>
        <w:t>. All pronouns shall be deemed to refer to the masculine, feminine, neuter, singular or plural, as the identity of the party or parties or their personal representatives, successors and assigns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12.7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one or more counterparts, all of which taken together shall be deemed and considered one and the same Agreement, and same shall become effective when counterparts have been signed by each party and each party has delivered its signed counterpart to the other party. A digital reproduction, portable document format (“.pdf”) or other reproduction of this Agreement may be executed by one or more parties hereto and delivered by such party by electronic signature (including signature via DocuSign or similar services), electronic mail or any similar electronic transmission device pursuant to which the signature of or on behalf of such party can be seen. Such execution and delivery shall be considered valid, binding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article and section headings contained in this Agreement are inserted for convenience only and shall not affect in any way the meaning or interpretation of the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and enforced in accordance with, and all questions concerning the construction, validity, interpretation, and performance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above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each Investor from bringing suit or taking other legal action against the Company in any other jurisdiction to collect on the Company’s obligations to each Investor, to realize on any collateral or any other security for such obligations, or to enforce a judgment or other court ruling in favor of each Investor. THE COMPANY AND EACH INVESTOR HEREBY IRREVOCABLY WAIVE ANY RIGHT THEY MAY HAVE TO, AND AGREE NOT TO REQUEST, A JURY TRIAL FOR THE ADJUDICATION OF ANY DISPUTE HEREUNDER OR IN CONNECTION WITH OR ARISING OUT OF THIS AGREEMENT OR ANY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parties hereto will execute and deliver such further instruments and do such further acts and things as may be reasonably required to carry out the intent and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12.12 </w:t>
      </w:r>
      <w:r>
        <w:rPr>
          <w:rFonts w:ascii="Times New Roman;Times;Serif" w:hAnsi="Times New Roman;Times;Serif"/>
          <w:b w:val="false"/>
          <w:i w:val="false"/>
          <w:caps w:val="false"/>
          <w:smallCaps w:val="false"/>
          <w:sz w:val="20"/>
          <w:u w:val="single"/>
        </w:rPr>
        <w:t>Joint Preparation</w:t>
      </w:r>
      <w:r>
        <w:rPr>
          <w:rFonts w:ascii="Times New Roman;Times;Serif" w:hAnsi="Times New Roman;Times;Serif"/>
          <w:b w:val="false"/>
          <w:i w:val="false"/>
          <w:caps w:val="false"/>
          <w:smallCaps w:val="false"/>
          <w:sz w:val="20"/>
        </w:rPr>
        <w:t>. The preparation of this Agreement has been a joint effort of the parties and the resulting documents shall not, solely as a matter of judicial construction, be construed more severely against one of the parties than the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one of the provisions contained in this Agreement, for any reason, shall be held invalid, illegal or unenforceable in any respect, such invalidity, illegality or unenforceability shall not affect any other provision of this Agreement, and this Agreement shall remain in full force and effect and be construed as if the invalid, illegal or unenforceable provision had never been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12.14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12.15 </w:t>
      </w:r>
      <w:r>
        <w:rPr>
          <w:rFonts w:ascii="Times New Roman;Times;Serif" w:hAnsi="Times New Roman;Times;Serif"/>
          <w:b w:val="false"/>
          <w:i w:val="false"/>
          <w:caps w:val="false"/>
          <w:smallCaps w:val="false"/>
          <w:sz w:val="20"/>
          <w:u w:val="single"/>
        </w:rPr>
        <w:t>Remedies, Characterization, Other Obligations, Breaches and Injunctive Relief</w:t>
      </w:r>
      <w:r>
        <w:rPr>
          <w:rFonts w:ascii="Times New Roman;Times;Serif" w:hAnsi="Times New Roman;Times;Serif"/>
          <w:b w:val="false"/>
          <w:i w:val="false"/>
          <w:caps w:val="false"/>
          <w:smallCaps w:val="false"/>
          <w:sz w:val="20"/>
        </w:rPr>
        <w:t>. The remedies provided in this Agreement shall be cumulative and in addition to all other remedies available under this Agreement and the other Transaction Documents, at law or in equity (including a decree of specific performance and/or other injunctive relief), and nothing herein shall limit the right of each Investor to pursue actual and consequential damages for any failure by the Company to comply with the terms of this Agreement. The Company covenants to each Investor that there shall be no characterization concerning this instrument other than as expressly provided herein. Amounts set forth or provided for herein with respect to payments, exercises and the like (and the computation thereof) shall be the amounts to be received by each Investor and shall not, except as expressly provided herein, be subject to any other obligation of the Company (or the performance thereof). The Company acknowledges that a breach by it of its obligations hereunder will cause irreparable harm to each Investor and that the remedy at law for any such breach may be inadequate. The Company therefore agrees that, in the event of any such breach or threatened breach, each Investor of this Agreement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each Investor that is requested by each Investor to enable each Investor to confirm the Company’s compliance with the terms and conditions of this Agreement. The issuance of shares and certificates for shares as contemplated hereby upon Closing shall be made without charge to each Investor or such shares for any issuance tax or other costs in respect thereof, provided that the Company shall not be required to pay any tax which may be payable in respect of any transfer involved in the issuance and delivery of any certificate in a name other than each Investor or its agent on its behalf.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THE FOLLOWING PAGE]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as of the date and year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Cayman Islands exempted company limited by shares</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50"/>
        <w:gridCol w:w="2855"/>
        <w:gridCol w:w="75"/>
      </w:tblGrid>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 </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Purchase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Investor: 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Investor</w:t>
      </w:r>
      <w:r>
        <w:rPr>
          <w:rFonts w:ascii="Times New Roman;Times;Serif" w:hAnsi="Times New Roman;Times;Serif"/>
          <w:b w:val="false"/>
          <w:i w:val="false"/>
          <w:caps w:val="false"/>
          <w:smallCaps w:val="false"/>
          <w:sz w:val="20"/>
        </w:rPr>
        <w:t>: 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Investor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Shares: __________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__________ to purchase up to __________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Purchase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ACCREDITED INVESTOR REPRESENTATIONS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Individual Investors Only</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 Individual Investors must </w:t>
      </w:r>
      <w:r>
        <w:rPr>
          <w:rFonts w:ascii="Times New Roman;Times;Serif" w:hAnsi="Times New Roman;Times;Serif"/>
          <w:b/>
          <w:i/>
          <w:caps w:val="false"/>
          <w:smallCaps w:val="false"/>
          <w:sz w:val="20"/>
        </w:rPr>
        <w:t>INITIAL</w:t>
      </w:r>
      <w:r>
        <w:rPr>
          <w:rFonts w:ascii="Times New Roman;Times;Serif" w:hAnsi="Times New Roman;Times;Serif"/>
          <w:b/>
          <w:i w:val="false"/>
          <w:caps w:val="false"/>
          <w:smallCaps w:val="false"/>
          <w:sz w:val="20"/>
        </w:rPr>
        <w:t xml:space="preserve"> where appropriate):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6"/>
        <w:gridCol w:w="60"/>
        <w:gridCol w:w="9499"/>
      </w:tblGrid>
      <w:tr>
        <w:trPr/>
        <w:tc>
          <w:tcPr>
            <w:tcW w:w="64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an individual net worth, or joint net worth with my spouse, as of the date hereof in excess of $1 million. For purposes of calculating net worth under this category, (i) the undersigned’s primary residence shall not be included as an asset, (ii) indebtedness that is secured by the undersigned’s primary residence, up to the estimated fair market value of the primary residence at the time of the sale of securities, shall not be included as a liability, (iii) to the extent that the indebtedness that is secured by the primary residence is in excess of the fair market value of the primary residence, the excess amount shall be included as a liability, and (iv) if the amount of outstanding indebtedness that is secured by the primary residence exceeds the amount outstanding 60 days prior to the execution of this Subscription Agreement, other than as a result of the acquisition of the primary residence, the amount of such excess shall be included as a liability.</w:t>
            </w:r>
          </w:p>
        </w:tc>
      </w:tr>
      <w:tr>
        <w:trPr/>
        <w:tc>
          <w:tcPr>
            <w:tcW w:w="646" w:type="dxa"/>
            <w:tcBorders/>
            <w:vAlign w:val="center"/>
          </w:tcPr>
          <w:p>
            <w:pPr>
              <w:pStyle w:val="TableContents"/>
              <w:bidi w:val="0"/>
              <w:spacing w:before="0" w:after="283"/>
              <w:jc w:val="left"/>
              <w:rPr>
                <w:caps w:val="false"/>
                <w:smallCaps w:val="false"/>
              </w:rPr>
            </w:pPr>
            <w:r>
              <w:rPr>
                <w:caps w:val="false"/>
                <w:smallCaps w:val="false"/>
              </w:rPr>
              <w:t> </w:t>
            </w:r>
          </w:p>
        </w:tc>
        <w:tc>
          <w:tcPr>
            <w:tcW w:w="95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64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had an annual gross income for the past two years of at least $200,000 (or $300,000 jointly with my spouse) and expect my income (or joint income, as appropriate) to reach the same level in the current year.</w:t>
            </w:r>
          </w:p>
        </w:tc>
      </w:tr>
      <w:tr>
        <w:trPr/>
        <w:tc>
          <w:tcPr>
            <w:tcW w:w="6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4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a director or executive officer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Non-Individual Investors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 Non-Individual Investors must </w:t>
      </w:r>
      <w:r>
        <w:rPr>
          <w:rFonts w:ascii="Times New Roman;Times;Serif" w:hAnsi="Times New Roman;Times;Serif"/>
          <w:b/>
          <w:i/>
          <w:caps w:val="false"/>
          <w:smallCaps w:val="false"/>
          <w:sz w:val="20"/>
        </w:rPr>
        <w:t>INITIAL</w:t>
      </w:r>
      <w:r>
        <w:rPr>
          <w:rFonts w:ascii="Times New Roman;Times;Serif" w:hAnsi="Times New Roman;Times;Serif"/>
          <w:b/>
          <w:i w:val="false"/>
          <w:caps w:val="false"/>
          <w:smallCaps w:val="false"/>
          <w:sz w:val="20"/>
        </w:rPr>
        <w:t xml:space="preserve"> where appropriate):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
        <w:gridCol w:w="60"/>
        <w:gridCol w:w="9345"/>
      </w:tblGrid>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certifies that it is a partnership, corporation, limited liability company or business trust that is 100% owned by persons who meet at least one of the criteria for Individual Investors set forth above.</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certifies that it is a partnership, corporation, limited liability company or any organization described in Section 501(c)(3) of the Internal Revenue Code, Massachusetts or similar business trust that has total assets of at least $5 million and was not formed for the purpose of investing the Company.</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certifies that it is an employee benefit plan within the meaning of the Employee Retirement Income Security Act of 1974, whose investment decision is made by a plan fiduciary (as defined in ERISA §3(21)) that is a bank, savings and loan association, insurance company or registered investment adviser.</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certifies that it is an employee benefit plan whose total assets exceed $5,000,000 as of the date of this Subscription Agreement.</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it is a self-directed employee benefit plan whose investment decisions are made solely by persons who meet either of the criteria for Individual Investors.</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certifies that it is a U.S. bank, U.S. savings and loan association or other similar U.S. institution acting in its individual or fiduciary capacity.</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it is a broker-dealer registered pursuant to §15 of the Securities Exchange Act of 1934.</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certifies that it is an organization described in §501(c)(3) of the Internal Revenue Code with total assets exceeding $5,000,000 and not formed for the specific purpose of investing in the Company.</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certifies that it is a trust with total assets of at least $5,000,000, not formed for the specific purpose of investing in the Company, and whose purchase is directed by a person with such knowledge and experience in financial and business matters that he is capable of evaluating the merits and risks of the prospective investment.</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certifies that it is a plan established and maintained by a state or its political subdivisions, or any agency or instrumentality thereof, for the benefit of its employees, and which has total assets in excess of $5,000,000.</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certifies that it is an insurance company as defined in §2(13) of the Securities Act, or a registered investment company.</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company registered under the Investment Company Act of 1940 or a business development company as defined in Section 2(a)(48) of that Act.</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Small Business Investment Company licensed by the U.S. Small Business Administration under Section 301(c) or (d) of the Small Business Investment Act of 1958.</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94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private business development company as defined in Section 202(a)(22) of the Investment Advisers Act of 1940.</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SUBSCRIPTION</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740"/>
        <w:gridCol w:w="60"/>
        <w:gridCol w:w="1160"/>
        <w:gridCol w:w="60"/>
        <w:gridCol w:w="1355"/>
        <w:gridCol w:w="60"/>
        <w:gridCol w:w="1010"/>
        <w:gridCol w:w="60"/>
        <w:gridCol w:w="1310"/>
        <w:gridCol w:w="60"/>
        <w:gridCol w:w="1100"/>
      </w:tblGrid>
      <w:tr>
        <w:trPr/>
        <w:tc>
          <w:tcPr>
            <w:tcW w:w="740"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Subscribed</w:t>
            </w:r>
          </w:p>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Shares</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Subscription</w:t>
            </w:r>
          </w:p>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Per Share</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Subscribed</w:t>
            </w:r>
          </w:p>
          <w:p>
            <w:pPr>
              <w:pStyle w:val="TableContents"/>
              <w:bidi w:val="0"/>
              <w:jc w:val="left"/>
              <w:rPr>
                <w:rFonts w:ascii="Times New Roman;Times;Serif" w:hAnsi="Times New Roman;Times;Serif"/>
                <w:b/>
                <w:sz w:val="20"/>
              </w:rPr>
            </w:pPr>
            <w:r>
              <w:rPr>
                <w:rFonts w:ascii="Times New Roman;Times;Serif" w:hAnsi="Times New Roman;Times;Serif"/>
                <w:b/>
                <w:sz w:val="20"/>
              </w:rPr>
              <w:t>Pre-Funded</w:t>
            </w:r>
          </w:p>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8" w:space="0" w:color="000000"/>
            </w:tcBorders>
            <w:vAlign w:val="center"/>
          </w:tcPr>
          <w:p>
            <w:pPr>
              <w:pStyle w:val="TableContents"/>
              <w:bidi w:val="0"/>
              <w:jc w:val="left"/>
              <w:rPr>
                <w:rFonts w:ascii="Times NewRoman;Times;Serif" w:hAnsi="Times NewRoman;Times;Serif"/>
                <w:b/>
                <w:sz w:val="20"/>
              </w:rPr>
            </w:pPr>
            <w:r>
              <w:rPr>
                <w:rFonts w:ascii="Times NewRoman;Times;Serif" w:hAnsi="Times NewRoman;Times;Serif"/>
                <w:b/>
                <w:sz w:val="20"/>
              </w:rPr>
              <w:t>Subscription</w:t>
            </w:r>
          </w:p>
          <w:p>
            <w:pPr>
              <w:pStyle w:val="TableContents"/>
              <w:bidi w:val="0"/>
              <w:jc w:val="left"/>
              <w:rPr>
                <w:rFonts w:ascii="Times NewRoman;Times;Serif" w:hAnsi="Times NewRoman;Times;Serif"/>
                <w:b/>
                <w:sz w:val="20"/>
              </w:rPr>
            </w:pPr>
            <w:r>
              <w:rPr>
                <w:rFonts w:ascii="Times NewRoman;Times;Serif" w:hAnsi="Times NewRoman;Times;Serif"/>
                <w:b/>
                <w:sz w:val="20"/>
              </w:rPr>
              <w:t>Price Per</w:t>
            </w:r>
          </w:p>
          <w:p>
            <w:pPr>
              <w:pStyle w:val="TableContents"/>
              <w:bidi w:val="0"/>
              <w:jc w:val="left"/>
              <w:rPr>
                <w:rFonts w:ascii="Times NewRoman;Times;Serif" w:hAnsi="Times NewRoman;Times;Serif"/>
                <w:b/>
                <w:sz w:val="20"/>
              </w:rPr>
            </w:pPr>
            <w:r>
              <w:rPr>
                <w:rFonts w:ascii="Times NewRoman;Times;Serif" w:hAnsi="Times NewRoman;Times;Serif"/>
                <w:b/>
                <w:sz w:val="20"/>
              </w:rPr>
              <w:t>Pre-Funded</w:t>
            </w:r>
          </w:p>
          <w:p>
            <w:pPr>
              <w:pStyle w:val="TableContents"/>
              <w:bidi w:val="0"/>
              <w:jc w:val="left"/>
              <w:rPr>
                <w:rFonts w:ascii="Times New Roman;Times;Serif" w:hAnsi="Times New Roman;Times;Serif"/>
                <w:b/>
                <w:sz w:val="20"/>
              </w:rPr>
            </w:pPr>
            <w:r>
              <w:rPr>
                <w:rFonts w:ascii="Times New Roman;Times;Serif" w:hAnsi="Times New Roman;Times;Serif"/>
                <w:b/>
                <w:sz w:val="20"/>
              </w:rPr>
              <w:t>Warrant</w:t>
            </w:r>
          </w:p>
          <w:p>
            <w:pPr>
              <w:pStyle w:val="TableContents"/>
              <w:bidi w:val="0"/>
              <w:jc w:val="left"/>
              <w:rPr>
                <w:rFonts w:ascii="Times New Roman;Times;Serif" w:hAnsi="Times New Roman;Times;Serif"/>
                <w:b/>
                <w:sz w:val="20"/>
              </w:rPr>
            </w:pPr>
            <w:r>
              <w:rPr>
                <w:rFonts w:ascii="Times New Roman;Times;Serif" w:hAnsi="Times New Roman;Times;Serif"/>
                <w:b/>
                <w:sz w:val="20"/>
              </w:rPr>
              <w:t>(Exclusive of</w:t>
            </w:r>
          </w:p>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8" w:space="0" w:color="000000"/>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Subscription</w:t>
            </w:r>
          </w:p>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Amount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 w:name="ex99-1.htm"/>
      <w:bookmarkStart w:id="7" w:name="ksex991"/>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 Announces Private Placement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September 28, 2026 – Julong Holding Limited (“Julong” or the “Company”) (Nasdaq: JLHL), a growth-oriented provider of intelligent integrated solutions, today announced that, on September 28, 2026, it entered into a securities purchase agreement (the “Securities Purchase Agreement”) with certain investors for a private placement (the “Private Placement”) of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Securities Purchase Agreement, the Company agreed to issue and sell (i) 750,000 Class A ordinary shares (the “Class A Ordinary Shares”), par value US$0.0001 per share, of the Company (the “Initial Shares”), at a purchase price of US$0.300 per share, and (ii) 2,250,000 pre-funded warrants to purchase up to an aggregate of 2,250,000 Class A Ordinary Shares (the “Pre-Funded Warrants,” together with the Initial Shares, the “Securities”), at a purchase price of US$0.299 per pre-funded warrant. The Pre-Funded Warrants have an exercise price of US$0.001 per share, are immediately exercisable, and may be exercised at any time until exercised in full. The aggregate gross proceeds of the Private Placement are US$897,750.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is expected to close on or about September 29, 2026, subject to satisfaction or waiver of the conditions precedent set forth in the Securities Purchase Agreement. Net proceeds from the Private Placement, after deducting offering expenses, are approximately US$828,000. The Company intends to use such proceeds for general corporate purposes. The Company’s management retains discretion over the use and timing of the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in this Private Placement have not been registered under the Securities Act of 1933, as amended (the “Securities Act”), or any applicable state securities laws, and may not be offered or sold in the United States absent registration or an applicable exemption from registration requirements. The investors represented that they were accredited investors within the meaning of Rule 501(a) of Regulation D of the Securities Act and were acquiring the Securities for investment only and with no present intention of distributing any of such Securities or any arrangement or understanding regarding the distribution thereof. Additional details regarding the Private Placement are set forth in the Company’s Current Report on Form 6-K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any securities, nor shall there be any sale of any securities in any state or jurisdiction in which such offer, solicitation or sale would be unlawful prior to registration or qualification under the securities laws of any such state or jurisdiction.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Julong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1997, Julong is a growth-oriented professional provider of intelligent integrated solutions to public utilities, commercial properties, and multifamily residential properties operating at scale in China. The Company’s comprehensive suite of intelligent integrated solutions includes systems for intelligent security, fire protection, parking, toll collection, broadcasting, identification, data room, emergency command, and city management. Since its inception, Julong has focused on the successful and on-time execution of complex projects, through its “deliveries before deadline” and “customers first” initiatives. As Julong continues to cross-sell its service and solution offerings and advance its purpose-built technologies, the Company is well-positioned to achieve economies of scale and capture future opportunities.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ir.julongzx.com.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can be identified by terminology such as “will,” “would,” “may,” “expects,” “anticipates,” “aims,” “future,” “continues,” “could,” “should,” “target,” “intends,” “plans,” “believes,” “estimates,” “likely to” and similar statements, and include, but are not limited to, statements regarding the expected closing of the Private Placement and the use of proceeds therefrom. Forward-looking statements involve inherent risks and uncertainties. Actual results may differ materially from those indicated by such forward-looking statements as a result of various important factors, including the risk that the Private Placement may not close on the anticipated timeline or at all, and other factors discussed under “Risk Factors” in the Company’s most recent Annual Report on Form 20-F and other filings with the U.S. Securities and Exchange Commission. All information provided in this press release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investor and media inquiries, please contact: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ir@julongzx.com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Jenny Cai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(10) 6508-0677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julong@thepiacentegroup.com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julong@thepiacentegroup.com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7846/000149315226034489/formf-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24436</Words>
  <Characters>130429</Characters>
  <CharactersWithSpaces>155063</CharactersWithSpaces>
  <Paragraphs>1073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