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f-3.htm"/>
      <w:bookmarkStart w:id="1" w:name="ksformf3"/>
      <w:bookmarkEnd w:id="0"/>
      <w:bookmarkEnd w:id="1"/>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July 24,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Julong Holding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2009, Building A, Times Fortune World</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No.1 Hangfeng Road, Fengtai District</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China 100070</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+86-10-5809-0779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Street, 18th Floor</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221-0102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Yang Ge,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DLA Piper UK LLP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r>
        <w:rPr>
          <w:rFonts w:ascii="Times New Roman;Times;Serif" w:hAnsi="Times New Roman;Times;Serif"/>
          <w:b/>
          <w:i w:val="false"/>
          <w:caps w:val="false"/>
          <w:smallCaps w:val="false"/>
          <w:position w:val="7"/>
          <w:sz w:val="16"/>
          <w:sz w:val="20"/>
        </w:rPr>
        <w:t xml:space="preserve">th </w:t>
      </w:r>
      <w:r>
        <w:rPr>
          <w:rFonts w:ascii="Times New Roman;Times;Serif" w:hAnsi="Times New Roman;Times;Serif"/>
          <w:b/>
          <w:i w:val="false"/>
          <w:caps w:val="false"/>
          <w:smallCaps w:val="false"/>
          <w:sz w:val="20"/>
        </w:rPr>
        <w:t xml:space="preserve">Floor, South Tower, Kerry Center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1 Guanghua Road, Chaoyang District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Beijing, China 100020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+86-10-8520-0616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to be offered pursuant to dividend or interest reinvestment plans,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wider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360"/>
        <w:jc w:val="righ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6190" w:type="dxa"/>
        <w:jc w:val="left"/>
        <w:tblInd w:w="0" w:type="dxa"/>
        <w:tblLayout w:type="fixed"/>
        <w:tblCellMar>
          <w:top w:w="0" w:type="dxa"/>
          <w:left w:w="0" w:type="dxa"/>
          <w:bottom w:w="0" w:type="dxa"/>
          <w:right w:w="0" w:type="dxa"/>
        </w:tblCellMar>
      </w:tblPr>
      <w:tblGrid>
        <w:gridCol w:w="4505"/>
        <w:gridCol w:w="1685"/>
      </w:tblGrid>
      <w:tr>
        <w:trPr/>
        <w:tc>
          <w:tcPr>
            <w:tcW w:w="4505" w:type="dxa"/>
            <w:tcBorders/>
            <w:vAlign w:val="center"/>
          </w:tcPr>
          <w:p>
            <w:pPr>
              <w:pStyle w:val="TableContents"/>
              <w:bidi w:val="0"/>
              <w:spacing w:before="0" w:after="283"/>
              <w:jc w:val="left"/>
              <w:rPr>
                <w:rFonts w:ascii="Times New Roman;Times;Serif" w:hAnsi="Times New Roman;Times;Serif"/>
                <w:b w:val="false"/>
                <w:i/>
                <w:caps w:val="false"/>
                <w:smallCaps w:val="false"/>
                <w:color w:val="FF0000"/>
                <w:sz w:val="20"/>
              </w:rPr>
            </w:pPr>
            <w:r>
              <w:rPr>
                <w:rFonts w:ascii="Times New Roman;Times;Serif" w:hAnsi="Times New Roman;Times;Serif"/>
                <w:b w:val="false"/>
                <w:i/>
                <w:caps w:val="false"/>
                <w:smallCaps w:val="false"/>
                <w:color w:val="FF0000"/>
                <w:sz w:val="20"/>
              </w:rPr>
              <w:t>PRELIMINARY PROSPECTUS (Subject to Completion)</w:t>
            </w:r>
          </w:p>
        </w:tc>
        <w:tc>
          <w:tcPr>
            <w:tcW w:w="1685" w:type="dxa"/>
            <w:tcBorders/>
            <w:vAlign w:val="center"/>
          </w:tcPr>
          <w:p>
            <w:pPr>
              <w:pStyle w:val="TableContents"/>
              <w:bidi w:val="0"/>
              <w:spacing w:before="0" w:after="283"/>
              <w:jc w:val="right"/>
              <w:rPr>
                <w:rFonts w:ascii="Times New Roman;Times;Serif" w:hAnsi="Times New Roman;Times;Serif"/>
                <w:b w:val="false"/>
                <w:i/>
                <w:caps w:val="false"/>
                <w:smallCaps w:val="false"/>
                <w:color w:val="FF0000"/>
                <w:sz w:val="20"/>
              </w:rPr>
            </w:pPr>
            <w:r>
              <w:rPr>
                <w:rFonts w:ascii="Times New Roman;Times;Serif" w:hAnsi="Times New Roman;Times;Serif"/>
                <w:b w:val="false"/>
                <w:i/>
                <w:caps w:val="false"/>
                <w:smallCaps w:val="false"/>
                <w:color w:val="FF0000"/>
                <w:sz w:val="20"/>
              </w:rPr>
              <w:t>Dated July 24,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Julong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US$200,000,000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issue and sell up to US$200,000,000 or its equivalent in any other currency, currency units, or composite currency or currencies, of our Class A ordinary shares, par value US$0.0001 per share (the “Class A ordinary shares”, each a “Class A ordinary share”), preferred shares, warrants to purchase Class A ordinary shares, debt securities, subscription rights and a combination of such securities, separately or as units, in one or more offerings. We refer to our Class A ordinary shares, preferred shares, warrants, debt securities, subscription rights and units collectively as “securities” in this prospectus. This prospectus provides a general description of offerings of these securities that we may undertake.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the securities, we will provide a supplement to this prospectus that contains specific information about the offering and the terms of the securities. The supplement may also add, update or change information contained in this prospectus. You should carefully read this prospectus and any prospectus supplement before you invest in any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provides a general description of the securities we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Times;Serif" w:hAnsi="Times New Roman;Times;Serif"/>
          <w:b/>
          <w:i w:val="false"/>
          <w:caps w:val="false"/>
          <w:smallCaps w:val="false"/>
          <w:sz w:val="20"/>
        </w:rPr>
        <w:t>This prospectus may not be used to offer or sell any securities unless accompanied by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Class A ordinary shares in any 12-month period so long as the aggregate market value of our outstanding ordinary shares held by non-affiliates remains below $75,000,000. The aggregate market value of our outstanding voting and non-voting common equity held by non-affiliates is US$64,898,713.60 based on the closing price of US$44.80 per share on June 5, 2026 and 1,448,632 Class A ordinary shares held by non-affiliates. During the 12 calendar months prior to and including the date of this prospectus, we have not offered or sold any securities pursuant to General Instruction I.B.5 of Form F-3.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or NASDAQ, under the symbol “JLHL.”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and have elected to comply with certain reduced public company reporting requirements. See “Our Company — Implications of Being an Emerging Growth Company” in this prospectus.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 or the Parent, is not a Chinese operating company, but a Cayman Islands holding company with operations conducted primarily through its operating subsidiaries in the mainland China, or the PRC subsidiaries. Investors purchasing our Class A ordinary shares in this offering are purchasing equity securities of our Cayman Islands holding company and are not purchasing and may never hold equity securities of our PRC operating subsidiaries. This structure involves unique risks to investors in our Class A ordinary shares. For example, as a holding company, our PRC subsidiaries are subject to regulations on loans to, and direct investment in, PRC entities by offshore holding companies. In addition, Chinese regulatory authorities may implement changes to the existing laws and regulations in the future that may disallow this structure, which would likely result in a material change in our operations and/or a material change in the value of our Class A ordinary shares, including that it could cause the value of our Class A ordinary shares to significantly decline or become worthless. While we do not operate in an industry that is currently subject to foreign ownership limitations in China, PRC regulatory authorities could decide to limit foreign ownership in our industry in the future, in which case there could be a risk that we would be unable to do business in China as we are currently structured. In such event, despite our efforts to reorganize to comply with the then applicable PRC laws and regulations in order to continue our operations in China, we may experience material changes in our business and results of operations, our attempts may prove to be futile due to factors beyond our control, and the value of our Class A ordinary shares which you invest in may significantly decline or become worthless. See “Risk Factors — Risks Relating to Doing Business in China — The PRC government’s significant oversight and discretion over our business operations could result in a material adverse change in our operations and the value of our Class A ordinary shares” and “Risk Factors — Risks Relating to Doing Business in China — Uncertainties exist with respect to how the PRC Foreign Investment Law may impact the viability of our current corporate structure and operations.” We face various legal and operational risks and uncertainties associated with being based in and having the majority of our operations in the PRC and the complex and evolving PRC laws and regulations, which could result in a material adverse change in our operations and the value of the securities we are registering for sale or could significantly limit or completely hinder our ability to offer or continue to offer securities to investors and cause the value of such securities to significantly decline or be worthless. For example, we face risks associated with the fact that the PRC government has significant authority in regulating our operations, regulatory approvals on offerings conducted overseas by, and foreign investment in, China-based issuers, anti-monopoly regulatory actions, and oversight on data security, which may impact our ability to conduct certain businesses, accept foreign investments, or list on a United States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we may rely on dividends from our subsidiaries for our cash requirements, including any payment of dividends to our shareholders. The ability of our subsidiaries to pay dividends to us, however, may be restricted by the debt they incur on their own behalf and/or laws and regulations applicable to them. Unless otherwise indicated or the context otherwise requires, “we,” “us,” “our company,” and “our” refer to Julong Holding Limited, our Cayman Islands holding company and its subsidiaries, which include those in the mainland China and Hong Kong. Currently, there are no restrictions of transferring funds between our Cayman Islands holding company and subsidiaries in the British Virgin Islands and Hong Kong. However, as the PRC government imposes control over currency conversion, it may impose certain limitations on our ability to transfer cash between our holding company, subsidiaries, and investors, primarily reflected in the following aspects: (i) we might be restricted from providing capital or loans to our PRC subsidiaries, which may adversely affect the operations of our PRC subsidiaries, (ii) our PRC subsidiaries may be restricted from paying dividends to us, and (iii) if we are unable to obtain dividends from our PRC subsidiaries, it may adversely impact our dividends distribution to investors. See “Risk Factors — Risks Relating to Doing Business in China — 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 and “Risk Factors — Risks Relating to Doing Business in China — PRC regulation of loans to and direct investment in PRC entities by offshore holding companies and governmental control of currency conversion may delay or prevent us from using the proceeds of our subsequent offerings to make loans or additional capital contributions to our PRC subsidiaries in China, which could materially and adversely affect our liquidity and our ability to fund and expand our business.” If needed, the Parent may transfer cash to Jiangshan Holding Limited (“Jiangshan BVI”) and Liyun Holding Limited (“Liyun BVI,” together with Jiangshan BVI, the “BVI subsidiaries”), its wholly-owned subsidiaries in the British Virgin Islands, through equity investments, and the BVI subsidiaries may transfer cash to their respective wholly-owned subsidiary in Hong Kong, namely Hong Kong Changfeng Holding Limited (“HK Changfeng”) and Hong Kong Qinan Holding Limited (“HK Qinan,” together with HK Changfeng, the “Hong Kong subsidiaries”) through equity investments. The Hong Kong subsidiaries, in turn, may transfer cash to their respective subsidiary or investee company in the PRC, namely Beijing Junxinyuan Technology Development Co., Ltd. (“Beijing Junxinyuan”) and Julong Online (Beijing) Technology Development Co., Ltd. (“Julong Online”), through equity investments. Similarly, Beijing Junxinyuan and Julong Online may transfer cash to their subsidiaries in the PRC through equity investments. Cash can also be transferred within our organization through intercompany loans. To the extent that cash is transferred from the Hong Kong subsidiaries to our PRC subsidiaries through equity investment, a registration with the local administration for market regulation, submission of investment information with the commerce administrative authority through the enterprise registration system and the enterprise credit information disclosure system, and registration with a local bank authorized by the State Administration of Foreign Exchange, or SAFE, may be required. To the extent that cash is transferred from the Hong Kong subsidiaries to the PRC subsidiaries through intercompany loans, a foreign loan registration with the SAFE or its local bureau may be required, and any medium and long-term foreign debt is subject to an examination and registration of the National Development and Reform Commission and a submission of the information on borrowing of foreign debts to the examination and registration authorities. See “Risk Factors — Risks Relating to Doing Business in China — PRC regulation of loans to and direct investment in PRC entities by offshore holding companies and governmental control of currency conversion may delay or prevent us from using the proceeds of our subsequent offerings to make loans or additional capital contributions to our PRC subsidiaries in China, which could materially and adversely affect our liquidity and our ability to fund and expand our business” for further details. In addition, to the extent cash or assets in our business is in the PRC or Hong Kong, such cash or assets may not be available to fund operations or for other use outside of the PRC or Hong Kong due to interventions in, or the impositions of restrictions and limitations on the ability of our holding company, or our subsidiaries by the PRC governments to transfer cash or assets. If our subsidiaries in the PRC realize accumulated after-tax profits, they may, upon satisfaction of relevant statutory conditions and procedures, pay dividends or distribute earnings to the Hong Kong subsidiaries. The Hong Kong subsidiaries may transfer cash to the BVI subsidiaries through dividends or other distributions, and similarly, the BVI subsidiaries may transfer cash to the Parent through dividends or other distributions. We have established stringent controls and procedures for cash flows within our organization. Each transfer of cash among our Cayman Islands holding company and our subsidiaries is subject to internal approval. Our finance department manages and supervises the transfers of funds among the Parent and its subsidiaries with the guidance from Julong Holding Fund Management Policy, an internal policy adopted by the Parent. Under this policy, the Parent is allowed to establish bilateral cash pooling programs between itself, on one hand, and its subsidiaries, on the other hand, to satisfy cash requirements in the form of equity investments and/or entrusted intercompany loans. The finance department closely monitors and manages the cash transfers through our organization by preparing monthly reports and annual budget plans. Each transfer of cash between the Parent and a subsidiary is also subject to internal report and approval process by reference to such policy. As of the date of this prospectus, (i) except that in January 2024, Julong Online transferred RMB59.1 million to Beijing Junxinyuan through an intercompany loan; and in January 2024, Beijing Junxinyuan transferred RMB59.1 million to Julong Online’s former parent company, Beijing Huiju Tianxia Investment Co. Ltd., which is controlled by our founding shareholder, to acquire Julong Online, no transfers of cash through equity investments and intercompany loans had been made across our organization, (ii) no assets other than cash had been transferred between the Parent and a subsidiary, (iii) none of the subsidiaries had made any dividend payment or distribution to the Parent or to any investors, and (iv) no transfers, dividends, or distributions had been made between the Parent and any investors. We have no plans to declare cash dividends in the near term, but as a holding company, we may depend on receipt of funds from one or more of our subsidiaries if we determine to pay cash dividends to holders of our Class A ordinary shares in the future. We do not have a regular dividend policy, and our board of directors has discretion as to whether to declare dividends, subject to certain requirements of Cayman Islands law. As of the date of this prospectus, our Cayman Islands holding company has not declared or paid any dividends or distributions on equity to its shareholders. See “Prospectus Summary — Cash Flows through Our Organization” and “Risk Factors — Risks Relating to Doing Business in China — We may rely on dividends and other distributions on equity paid by our subsidiaries, including our PRC subsidiaries, to fund any cash and financing requirements we may have, and any limitation on the ability of our PRC subsidiaries to make payments to us could have a material adverse effect on our ability to conduct our business”.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“foreign private issuer,” as defined in the Securities Exchange Act of 1934, as amended (the “Exchange Act”), and will be exempt from certain rules under the Exchange Act that impose certain disclosure obligations and procedural requirements for proxy solicitations under Section 14 of the Exchange Act. In addition, (i) our officers and directors are exempt from the short-swing profit recovery provisions of Section 16 of the Exchange Act, and (ii) our principal shareholders are exempt from the reporting and short-swing profit recovery provisions of Section 16 of the Exchange Act. Moreover, we will not be required to file periodic reports and financial statements with the U.S. Securities and Exchange Commission as frequently or as promptly as U.S. companies whose securities are registered under the Exchange Act. See “Our Company — Implications of Being a Foreign Private Issuer”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Public Company Accounting Oversight Board, or the PCAOB, issued a report notifying the U.S. Securities Exchange Commission, or the SEC, of its determination that it was unable to inspect or investigate completely registered public accounting firms headquartered in mainland China and Hong Kong. Pursuant to the Holding Foreign Companies Accountable Act, as amended by the Consolidated Appropriations Act, 2023, or the HFCA Act, if the SEC determines that we have filed audit reports issued by a registered public accounting firm that has not been subject to inspection by the PCAOB for two consecutive years, the SEC will prohibit our Class A ordinary shares from being traded on a national securities exchange or in the over-the-counter trading market in the U.S. The delisting of our Class A ordinary shares, or the threat of them being delisted, may materially and adversely affect the value of your investment. These risks could result in a material adverse change in our operations and the value of our Class A ordinary shares, significantly limit or completely hinder our ability to offer or continue to offer securities to investors, or cause the value of such securities to significantly decline or become worthless. Our audit firm, FORTUNE CPA, INC, an independent registered public accounting firm headquartered in California that issues the audit report included elsewhere in this prospectus, is a public accounting firm registered with the PCAOB and will be subject to laws in the United States pursuant to which the PCAOB conducts regular inspections to assess its compliance with the applicable professional standards. FORTUNE CPA, INC was inspected by the PCAOB in May of 2026.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among other jurisdictions, and if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See “Item 3. Key Information — D. Risk Factors — Risks Relating to Doing Business in China — 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 in our most recent annual report on Form 20-F,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a high degree of risk. Furthermore, investors should be aware that there are various other risks relating to the securities, the issuer and its subsidiaries, their business and their jurisdictions of operations which investors should familiarize themselves with before making an investment in the securities. Please carefully consider the risks discussed under “Risk Factors” in this prospectus beginning on page 15, in any accompanying prospectus supplement or in our reports filed with the Securities and Exchange Commission that are incorporated by reference in this prospectus before making a decision to invest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90"/>
        <w:gridCol w:w="455"/>
      </w:tblGrid>
      <w:tr>
        <w:trPr/>
        <w:tc>
          <w:tcPr>
            <w:tcW w:w="689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9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INCORPORATION OF CERTAIN DOCUMENTS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OUR COMPANY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DESCRIPTION OF SHARE CAPITAL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9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PREFERRED SHARE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WARRANTS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89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DEBT SECURITIES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DESCRIPTION OF SUBSCRIPTION RIGHTS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89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DESCRIPTION OF UNITS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90" w:type="dxa"/>
            <w:tcBorders/>
            <w:shd w:fill="CCEEFF" w:val="clear"/>
            <w:vAlign w:val="center"/>
          </w:tcPr>
          <w:p>
            <w:pPr>
              <w:pStyle w:val="TableContents"/>
              <w:bidi w:val="0"/>
              <w:spacing w:before="0" w:after="283"/>
              <w:jc w:val="left"/>
              <w:rPr/>
            </w:pPr>
            <w:hyperlink w:anchor="sww_001">
              <w:r>
                <w:rPr>
                  <w:rStyle w:val="InternetLink"/>
                  <w:rFonts w:ascii="Times New Roman;Times;Serif" w:hAnsi="Times New Roman;Times;Serif"/>
                  <w:b w:val="false"/>
                  <w:i w:val="false"/>
                  <w:caps w:val="false"/>
                  <w:smallCaps w:val="false"/>
                  <w:sz w:val="20"/>
                </w:rPr>
                <w:t>TAXATION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89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89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ENFORCEABILITY OF CIVIL LIABILITIES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89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EXPENSES RELATING TO THIS OFFERING</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689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689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6890" w:type="dxa"/>
            <w:tcBorders/>
            <w:shd w:fill="CCEEFF" w:val="clear"/>
            <w:vAlign w:val="center"/>
          </w:tcPr>
          <w:p>
            <w:pPr>
              <w:pStyle w:val="TableContents"/>
              <w:bidi w:val="0"/>
              <w:spacing w:before="0" w:after="283"/>
              <w:jc w:val="left"/>
              <w:rPr/>
            </w:pPr>
            <w:hyperlink w:anchor="o_001">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6890" w:type="dxa"/>
            <w:tcBorders/>
            <w:shd w:fill="FFFFFF" w:val="clear"/>
            <w:vAlign w:val="center"/>
          </w:tcPr>
          <w:p>
            <w:pPr>
              <w:pStyle w:val="TableContents"/>
              <w:bidi w:val="0"/>
              <w:spacing w:before="0" w:after="283"/>
              <w:jc w:val="left"/>
              <w:rPr/>
            </w:pPr>
            <w:hyperlink w:anchor="qw_001">
              <w:r>
                <w:rPr>
                  <w:rStyle w:val="InternetLink"/>
                  <w:rFonts w:ascii="Times New Roman;Times;Serif" w:hAnsi="Times New Roman;Times;Serif"/>
                  <w:b w:val="false"/>
                  <w:i w:val="false"/>
                  <w:caps w:val="false"/>
                  <w:smallCaps w:val="false"/>
                  <w:sz w:val="20"/>
                </w:rPr>
                <w:t>PART II INFORMATION NOT REQUIRED IN PROSPECTUS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into this prospectus, in the applicable prospectus supplement or in any free writing prospectus filed by us with the U.S. Securities and Exchange Commission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making an offer to sell the securities or soliciting an offer to buy the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or the SEC, using a “shelf” registration process. By using this shelf registration statement, we may, from time to time, sell any of our securities to the extent permitted in this prospectus and the applicable prospectus supplement in one or more offerings on a continuous or delayed basis. This prospectus provides you with a general description of the securities we may offer. This prospectus and any accompanying prospectus supplement do not contain all of the information included in the registration statement. We have omitted parts of the registration statement in accordance with the rules and regulations of the SEC. Statements contained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these matters. Each time we sell the securities, we will provide a supplement to this prospectus that contains specific information about the securities being offered and the specific terms of that offering. The supplement may also add, update or change information contained or incorporated by reference in this prospectus. You should read both this prospectus and any prospectus supplement or other offering materials together with additional information described under the headings “Where You Can Find More Information” and “Incorporation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in any supplement to this prospectus or, if applicable, any other offering materials we may provide you. We have not authorized any other person to provide you with different information. If anyone provides you with different or inconsistent information, you should not rely on it. We will not, and any underwriter or agent will not, make an offer to sell these securities in any jurisdiction where the offer or sale is not permitted. You should assume that the information appearing in this prospectus, any accompanying prospectus supplement or any other offering materials is accurate only as of the date on their respective cover, and you should assume that the information appearing in any document incorporated or deemed to be incorporated by reference in this prospectus or any accompanying prospectus supplement is accurate only as of the date that document was filed with the SEC.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prospectus and any accompanying prospectus supplement do not contain all the information set forth in the registration statement, including exhibits, that we have filed with the SEC on Form F-3 under the U.S. Securities Act of 1933, as amended, or the Securities Act. We have filed certain of these documents as exhibits to our registration statement and we refer you to those documents. Each statement in this prospectus relating to a document filed as an exhibit is qualified in all respects by the filed exhibit.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the context otherwise requires,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CAC” refers to the Cyberspace Administration of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CAGR” refers to compound average growth 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in each case, refers to the People’s Republic of China, including, Hong Kong, Macau and Taiwan. The term “Chinese” has a correlative meaning for the purpose of this prospectus. The only instances in which Hong Kong, Macau and Taiwan are not included in the definition of “China” or “PRC” is when we reference specific laws and regulations that have been adopted by the People’s Republic of China, other legal and tax matters related to the People’s Republic of China and the correlative opinions of our counsel as to PRC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CSRC” refers to the China Securities Regulatory Commission;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refers to the Class A ordinary shares of Julong Holding Limited of a par value of US$0.0001 each;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refers to our Class B ordinary shares of Julong Holding Limited of a par value of US$0.0001 each;</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EIT” refers to enterprise income tax;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refers to Hong Kong Special Administrative Region in the PRC;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PRC government” or “State” refers to the central government of the PRC, including all political subdivisions (including provincial, municipal and other regional or local government entities) and its organs or, as the context requires, any of them;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R&amp;D” refers to research and development;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RMB” and “Renminbi” refer to the legal currency of mainland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refers to the Securities and Exchange Commission;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and “U.S. dollars” refer to the legal currency of the United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refers to generally accepted accounting principles in the United States;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company,” “the Company”, “the Group” or “our” refers to Julong Holding Limited, a Cayman Islands exempted company with limited liability, and its subsidiaries.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all information in this prospectus assumes no exercise by the underwriters of their option to purchase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RMB. This prospectus contains translations from RMB to U.S. dollars solely for the convenience of the reader. Unless otherwise stated, the translations from RMB to U.S. dollars and from U.S. dollars to RMB in this prospectus were made at an exchange rate of RMB7.119 to US$1.0000 on September 30, 2025, representing the noon buying rate set forth in the H.10 statistical release of the U.S. Federal Reserve Board. We make no representation that the RMB or U.S. dollar amounts referred to in this prospectus could have been or could be converted into U.S. dollars or RMB, as the case may be, at any particular rate or at all.</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This means that we can disclose important information to you by referring you to another document filed by us with the SEC. Any information referenced this way is considered part of this prospectus, and any information that we file after the date of this prospectus with the SEC will automatically update and supersede this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the following documents: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September 30, 2025, filed with the SEC on February 13, 2026 (File No. 001-42683);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 on </w:t>
            </w:r>
            <w:hyperlink r:id="rId3">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furnished to the SEC on June 16,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Class A ordinary shares contained in our registration statement on </w:t>
            </w:r>
            <w:hyperlink r:id="rId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001-42683), initially filed with the SEC on June 4, 2025, and any amendment or report filed for the purpose of updating such description;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reports on Form 6-K that we furnish to the SEC after the date of this prospectus and prior to effectiveness of the registration statement that contains this prospectus and prior to the termination of this offering of securities, that are identified in such reports as being incorporated by reference into the registration statement of which this prospectus forms a part.</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2009, Building A, Times Fortune World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No.1 Hangfeng Road, Fengtai District</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100070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+86-10-5809-0779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contain forward-looking statements that represent our beliefs, projections and predictions about future events. Our forward-looking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 These statements are made under the “safe harbor” provisions of the U.S. Private Securities Litigation Reform Act of 1995. You can identify some of these forward-looking statements by words or phrases such as “may,” “will,” “should,” “could,” “would,” “predict,” “expect,” “anticipate,” “aim,” “estimate,” “intend,” “plan,” “believe,” “is/are likely to,” “potential,” “continue” or other similar expressions, although not all forward-looking statement contain these words. Forward-looking statements include, but are not limited to, statements relating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the intelligent integrated solutions industry in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services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bases of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invest in our services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government policies and regulations relating to our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or related to any of the foregoing;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risks and uncertainties described in “Item 3. Key Information — D. Risk Factors” and “Item 5. Operating and Financial Review and Prospects” in our most recent annual report on Form 20-F, incorporated herein by reference.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like to caution you not to place undue reliance on forward-looking statements and you should read these statements in conjunction with the risk factors disclosed herein, in the documents incorporated by reference herein or in any applicable prospectus supplement for a more complete discussion of the risks of an investment in our securities. Those risks are not exhaustive. We operate in an emerging and evolving environment. New risk factors emerge from time to time and it is impossible for our management to predict all risk factors, nor can we assess the impact of all factors on our business or the extent to which any factor, or combination of factors, may cause actual results to differ materially from those contained in any forward-looking statement. We do not undertake any obligation to update or revise the forward-looking statements except as required under applicable law. You should read this prospectus and the documents incorporated by reference in this prospectus completely and with the understanding that our actual future results may be materially different from what we expect.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OUR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growth-oriented professional provider of intelligent integrated solutions to public utilities, commercial properties, and multifamily residential properties operating at scale in China. The intelligent integrated solutions that we offer typically include intelligent security systems, fire protection systems, parking systems, toll collection systems, broadcasting systems, identification systems, data room systems, emergency command systems and city management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1997, we have focused on the successful and on-time execution of complex projects, through our “deliveries before deadline” and “customers first” initiatives. We initially focused primarily on providing products and services to individual customers, such as sole proprietorships, property owners and residents, until May 2012 when our founder, chairman and chief executive officer, Mr. Jiaqi Hu, led our strategic transition to become a provider of intelligent integrated solutions, mainly serving public utilities, commercial properties, multifamily residential properties and other institutional customers and focusing on complex and large-scale intelligent integrated engineering projects. As we cross-sell our service and solution offerings and further advance our purpose-built technologies, we have become well-prepared to achieve economies of scale and capture future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successfully provided intelligent integrated services and solutions to numerous landmark infrastructure projects in private and public sectors in China, such as (i) the design, procurement, installation, integration and maintenance of the security system, access control system and parking system of an international airport in Beijing, (ii) the installation, integration and maintenance of the parking system and visitor management system of a prestigious public university in Beijing, and (iii) the operation and maintenance of the intelligent integrated systems of over 460 branches of a renowned commercial bank in Southwest China. We primarily obtain contracts either through direct invitation for quotation from customers, or through a competitive tendering process of the project employers or their main contractors.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lines include (i) engineering solutions of intelligent projects; (ii) operation and maintenance of intelligent projects; and (iii) sales of equipment and materials of intelligent systems. Our intelligent integrated solutions enable an array of service scenarios to be digitized, visualized and simplified, enabling easier management by and bringing long-term benefits for our customers. We develop and deliver one-stop high-quality services and solutions that cater to the needs of each customer and enhance customer experience with stringent quality assurance policies. We have highly experienced management and technical teams, and we maintain long-term and stable relationships with several technical and installation teams that share our core corporate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2023, 2024 and 2025, our revenues amounted to RMB119,084 thousand, RMB173,651 thousand and RMB252,008 thousand (US$35,399 thousand), respectively. Approximately 88.6%, 10.3% and 1.1%, 93.0%, 5.9% and 1.1%, and 95.3%, 3.6% and 1.1% of our revenues for the fiscal years ended September 30, 2023, 2024 and 2025 were attributable to engineering solutions of intelligent projects, operation and maintenance of intelligent projects, and sales of equipment and materials of intelligent systems,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History and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Online (Beijing) Technology Development Co., Ltd. (formerly known as Meijiang Online (Beijing) Technology Development Co., Ltd.), or Julong Online, was established in June 1997 as a limited liability company incorporated under the laws of the PRC. Julong Online initially focused primarily on providing products and services to individual customers, such as individual proprietorships, property owners and residents, until May 2012 when our founder, chairman and chief executive officer, Mr. Jiaqi Hu, led our strategic transition to become a growth-oriented professional provider of intelligent integrated solutions, mainly serving public utilities, enterprises, commercial, multifamily properties and other institutional customers and focusing on complex and large-scale intelligent integrated engineering projects.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our offshore financing, we initiated a reorganization since July 2023. In August 2023, Julong Holding Limited, or the Parent, was incorporated as our ultimate offshore holding company in the Cayman Islands. In August 2023, through the Parent, we established Jiangshan Holding Limited, or Jiangshan BVI, a wholly-owned subsidiary in the British Virgin Islands. In September 2023, through Jiangshan BVI, we established Hong Kong Changfeng Holding Limited, or HK Changfeng, a wholly-owned subsidiary in Hong Kong. In November 2023, through HK Changfeng, we established Beijing Junxinyuan Technology Development Co., Ltd., or Beijing Junxinyuan, a wholly-owned subsidiary in the PRC. In December 2023, Hong Kong Qinan Holding Limited, or HK Qinan, a limited liability company incorporated in the Hong Kong and wholly owned by Liyun Holding Limited, or Liyun BVI, a limited liability company incorporated in the British Virgin Islands, acquired 1.0% of the equity interests in Julong Online. Later in the same month, as part of our reorganization, Beijing Huiju Tianxia Investment Co. Ltd., the shareholder then holding 99.0% of the equity interests in Julong Online, transferred all such equity interests to Beijing Junxinyuan. In February 2024, the Parent acquired 100% of the equity interests in Liyun BVI.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completed our initial public offering and listed our Class A ordinary shares on the Nasdaq Capital Market under the symbol “JLHL.” We raised approximately US$5.8 million of gross proceeds from this initial public offering, including from the full exercise of the underwriter’s over-allotment option.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191250" cy="3981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6191250" cy="3981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English names of our PRC subsidiaries are directly translated from Chinese and may be different from their names shown on their respective records filed with relevant PRC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Jiaqi Hu, our founder, chairman and chief executive officer, owns 96.0% of the equity interests in Datongyi Holding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 is located at Room 2009, Building A, Times Fortune World, No.1 Hangfeng Road, Fengtai District, Beijing, China 100070, and our telephone number is +86-10-5809-0779. Our corporate website is </w:t>
      </w:r>
      <w:r>
        <w:rPr>
          <w:rFonts w:ascii="Times New Roman;Times;Serif" w:hAnsi="Times New Roman;Times;Serif"/>
          <w:b w:val="false"/>
          <w:i/>
          <w:caps w:val="false"/>
          <w:smallCaps w:val="false"/>
          <w:sz w:val="20"/>
        </w:rPr>
        <w:t>ir.julongzx.com</w:t>
      </w:r>
      <w:r>
        <w:rPr>
          <w:rFonts w:ascii="Times New Roman;Times;Serif" w:hAnsi="Times New Roman;Times;Serif"/>
          <w:b w:val="false"/>
          <w:i w:val="false"/>
          <w:caps w:val="false"/>
          <w:smallCaps w:val="false"/>
          <w:sz w:val="20"/>
        </w:rPr>
        <w:t>. Information appearing on our website is not incorporated by reference into this prospectus or any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which contains in electronic form each of the reports and other information that we have filed electronically with the SEC. Additional information about us is included in the documents incorporated by reference in this prospectus, including our most recent annual report on Form 20-F filed with the SEC. See “Incorporation of Certain Documents by Reference”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agent for service of process in the United States is Cogency Global Inc., which is located at 122 East 42nd Street, 18th Floor, New York, New York 10168.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or the HFCA Act, if the SEC determines that we have filed audit reports issued by a registered public accounting firm that has not been subject to inspections by the PCAOB for two consecutive years, the SEC will prohibit our Class A ordinary shares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The delisting of our Class A ordinary shares, or the threat of them being delisted, may materially and adversely affect the value of your investment. These risks could result in a material adverse change in our operations and the value of our Class A ordinary shares, significantly limit or completely hinder our ability to offer or continue to offer securities to investors, or cause the value of such securities to significantly decline or become worthless. Our audit firm, FORTUNE CPA, INC an independent registered public accounting firm that issues the audit report included elsewhere in this prospectus, is a public accounting firm registered with the PCAOB and has been subject to laws in the United States pursuant to which the PCAOB conducts regular inspections to assess its compliance with the applicable professional standards. FORTUNE CPA, INC was inspected by the PCAOB in May of 2026.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among other jurisdictions. If the PCAOB determines in the future that it no longer has full access to inspect and investigate completely accounting firms in mainland China and Hong Kong, among other jurisdictions, and if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See “Item 3. Key Information — D. Risk Factors — Risks Relating to Doing Business in China — 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 in our most recent annual report on Form 20-F,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Risks Affecting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significant risks. Before making an investment decision, you should carefully consider all of the information in this prospectus, including the risks and uncertainties described below, the risk factors contained in our most recent annual report on Form 20-F, as well as any updates to those risk factors in our reports on Form 6-K, in each case incorporated by reference herein, together with all of the other information appearing or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risks could have a material adverse effect on our business, financial condition and results of operations. In any such case, the market price of our securities could decline, and you may lose all or part of your investment. Additional risks not presently known to us or that we currently deem immaterial may also impair our business operations.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certain material risks we face, organized under relevant headings. For detailed discussions, see “Risk Factors” in this prospectus and “Item 3. Key Information — D. Risk Factors” in our most recent annual report on Form 20-F,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relating to our business and industry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slowdown or decline in economic conditions in mainland China could adversely impact our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accurately estimate the overall risks, revenues or costs on our projects, we may incur contract losses or achieve profits that are below anticipation.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backlog is subject to unexpected adjustments and cancellations, and we may not be able to fully realize the revenue value reported in our backlog.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new contracts could result in volatility in our cash flow and profitability.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sustain the growth of our business or manage the expansion of our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industry and may not be able to compete effectively.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certain major customers for a large portion of our revenues may materially affect our business, financial performance, financial position and prospects.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requires us to hire, train and retain qualified personnel in a competitive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pursue business opportunities that diverge from our current business model, which may cause our business to suffer.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projects could be hindered due to our dependence on third parties to complete many of our contracts.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intelligent integrated solutions industry is schedule driven, and our failure to meet the schedule requirements in our contracts could adversely affect our reputation and/or expose us to financial liability.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to a large extent, on our reputation for quality, reliability, timely delivery and safety in the intelligent integrated solutions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susceptible to operational risks that could affect our business, financial condition and results of operation.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business of engineering solutions of intelligent projects depends on our ability to provide quality guarantee deposits.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Deterioration in our safety record could adversely affect our business, financial condition and results of operation.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special hazards that may cause personal injury or property damage, subjecting us to liabilities and possible losses which may not be covered by insurance.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delays and/or defaults in customer payments and may not be able to recover on claims against customers for payment.</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 events, such as weather conditions, natural disasters, health epidemics and pandemics or other contagious outbreaks and terrorist attacks, could negatively impact our business, which may affect our financial condition, results of operations or cash flows.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or changes in, laws or regulations could have a material adverse effect on our business, financial condition and results of operation.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relating to doing our business in China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government’s significant oversight and discretion over our business operations could result in a material adverse change in our operations and the value of our Class A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exerts substantial influence over the conduct of our business operations. It may influence or intervene in our operations at any time as part of its efforts to enforce PRC law, which could result in a material adverse change in our operations and the value of our Class A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exist with respect to how the PRC Foreign Investment Law may impact the viability of our current corporate structure and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China’s economic, political or social conditions or government policies could have a material adverse effect on our business, financial condition, results of operations, and the value of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laws, the approval of and the filing with the CSRC and/or other PRC government authorities may be required in connection with listing on the Nasdaq Stock Market as well as any of our future offering and listing in an overseas market, and, if required, we cannot predict whether or for how long we will be able to obtain such approval or complete such filing.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severe or prolonged downturn in the global or Chinese economy could materially and adversely affect our business, results of operations, financial condition and prospects.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and developments in the PRC legal system and the interpretation and enforcement of PRC laws, rules and regulations may subject us to uncertainties.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dividends and other distributions on equity paid by our subsidiaries, including our PRC subsidiaries, to fund any cash and financing requirements we may have, and any limitation on the ability of our PRC subsidiaries to make payments to us could have a material adverse effect on our ability to conduct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the following risks relating to our Class A ordinary shares, including, but not limited to, the following:</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a listing of our Class A ordinary shares on the Nasdaq Stock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our Class A ordinary shares may not develop and the trading price for our Class A ordinary shares may fluctuate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Class A ordinary shares could be subject to rapid and substantial volatility, which could result in substantial losses to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of 1933 and may take advantage of certain reduced reporting requirements. We cannot be certain if the reduced disclosure requirements applicable to emerging growth companies will make our Class A ordinary shares less attractive to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and as such we are exempt from certain provisions applicable to U.S. domestic public companies.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dual-class voting structure will limit your ability to influence corporate matters and could discourage others from pursuing any change of control transactions that holders of our Class A ordinary shares may view as beneficial.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 Mr. Jiaqi Hu, has considerable influence over us and our corporate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within the meaning of the Nasdaq Stock Market listing rules and, as a result, may rely on exemptions from certain corporate governance requirements that provide protection to shareholders of other companies.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expect to pay dividends in the foreseeable future, you must rely on price appreciation of the Class A ordinary shares for return on your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face difficulties in protecting your interests, and your ability to protect your rights through U.S. courts may be limited, because we are incorporated under Cayman Islands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incorporated in the Cayman Islands, we are permitted to adopt certain home country practices for corporate governance matters that differ significantly from the Nasdaq Stock Market corporate governance listing standards; these practices may afford less protection to shareholders than they would enjoy if we complied fully with the corporate governance listing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contain anti-takeover provisions that could have a material adverse effect on the rights of holders of our Class A ordinary shares.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Permissions Required from the PRC Authorities for Our Operations and Overseas Securities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in China are primarily conducted through our PRC subsidiaries. Our operations in China are governed by PRC laws and regulations. We are required to obtain certain licenses, permits and approvals from relevant governmental authorities in China in order to operate our business. As advised by our counsel as to PRC law, Beijing Dacheng Law Offices, LLP, as of the date of this prospectus, (i) we had obtained all licenses, permits and registrations from the PRC government authorities that are requisite for our business operations in China, including the Business License, the Qualification Certificates of Construction Enterprises, the Engineering Design Qualification Certificate, and the Production Safety Permit, and (ii) we had never been denied for any of such permissions or approvals. As of the date of this prospectus, we conducted our business operations only in the PRC, and our Hong Kong subsidiaries, did not have any substantive business operations. The laws and regulations currently effective in Hong Kong have no impact on our business or our ability to our future offering. Were we ever to have substantive operations in Hong Kong that fall within the scope of the relevant laws and regulations, we would have to ensure compliance with such laws and regulations, and any violation thereof could result in a material adverse impact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changes of interpretation and implementation of relevant laws and regulations and the enforcement practice by relevant government authorities, and the promulgation of new laws and regulations and amendment to the existing ones, we may be required to obtain additional licenses, permits, registrations, filings or approvals for our business operations in the future. We cannot assure you that we will be able to obtain, in a timely manner or at all, or maintain such licenses, permits or approvals, and we may also inadvertently conclude that such permissions or approvals are 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subsidiaries (i) do not receive or maintain such permissions or approvals, (ii) inadvertently conclude that such permissions or approvals are not required, or (iii) applicable laws, regulations, or interpretations change such that we or our subsidiaries are required to obtain such permissions or approvals in the future, it may have a material adverse impact on our ability to perform our obligations under any contracts we may have with customers. In addition, we and our PRC subsidiaries may be prohibited from engaging in relevant business and may be subject to investigations by competent regulators, fines or penalties, sanctions or injunctions like orders to suspend our relevant operations and rectify any non-compliance, or even criminal responsibility if it causes a major accident or other serious consequences. In such circumstances, our capability to undertake relevant work may be directly impacted. These risks could result in a material adverse change in our operations, our financial conditions and prospects, and the value of our securities, and may significantly limit or completely hinder our ability to offer or continue to offer securities to investors, or cause such securities we offer to significantly decline in value or become worthless. For details, see “Item 3. Key Information — D. Risk Factors — Risks Relating to Our Business and Industry — There is no assurance that we can maintain the qualifications, licenses, and registrations for the operation of our business” in our most recent annual report on Form 20-F,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and other twelve PRC regulatory authorities jointly revised and promulgated the Measures for Cybersecurity Review (the “Cybersecurity Review Measures”), which became effective on February 15, 2022. See “Item 4. Information on the Company — B. Business Overview — Regulations — Regulations Related to Cybersecurity, Data Security and Personal Information Protection” in our most recent annual report on 20-F, incorporated herein by reference. According to the Cybersecurity Review Measures, an internet platform operator who possesses personal information of more than one million users shall apply for a cybersecurity review before listing in a foreign country, and the relevant governmental authorities may initiate a cybersecurity review if they consider that the relevant network products or services or data processing activities affect or may affect national security. As advised by our counsel as to PRC law, Beijing Dacheng Law Offices, LLP, we are not required to declare to the CAC for cybersecurity review as of the date of this prospectus, as we have not received any notification from relevant government departments that we have been identified as critical information infrastructure operators, we do not possess personal information of more than one million users, and our business does not involve the collection of data that affects or may affect national security. Uncertainties still exist, however, due to the possibility that laws, regulations, or policies in China could change rapidly in the future. See “Item 3. Key Information — D. Risk Factors — Risks Relating to Doing Business in China —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 in our most recent annual report on Form 20-F,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Trial Administrative Measures of Overseas Securities Offering and Listing by Domestic Enterprises, or the Trial Measures and the related guidelines, which became effective on March 31, 2023. The Trial Measures, which reformed the existing regulatory regime for overseas offering and listing of securities by PRC domestic companies and both direct and indirect overseas offering and listing of securities by PRC domestic companies, imposes a filing-based regulatory regime. According to the Trial Measures, if an issuer meets both of the following criteria, the overseas securities offering and listing conducted by such issuers shall be deemed as indirect overseas offering and listing, and filings with the CSRC pursuant to the Trial Measures’ requirements shall be submitted within three working days following its submission of application for an initial public offering or listing: (i) more than 50% of the issuer’s operating revenue, total profit, total assets or net assets as documented in its audited combined and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majority of the issuer’s management are Chinese citizens or domiciled in China.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our PRC legal adviser, Beijing Dacheng Law Offices, LLP, under the applicable laws of PRC, we are required to file with the CSRC for the follow-on offering within three business days from our completion of the offering. We may also be required to file with or report to the CSRC in connection with any of our future offering and listing in an overseas market, including follow-on offerings, issuance of convertible bonds, offshore relisting after going-private transactions, and other equivalent offering activities. If we fail to complete such procedures for this offering as well as any future offshore offering or listing in an overseas market, including our follow-on offerings, issuance of convertible bonds, offshore relisting after going-private transactions, and other equivalent offering activities, we may face sanctions by the CSRC or other PRC regulatory authorities, which may include fines and penalties on us, restrictions on or delays to our financing transactions offshore, or other actions that could have a material and adverse effect on our business, financial condition, results of operations, reputation and prospects, as well as the trading price of our securities. See “Item 3. Key Information — D. Risk Factors — Risks Relating to Doing Business in China — Under the PRC laws, the approval of and the filing with the CSRC and/or other PRC government authorities may be required in connection with listing on the Nasdaq Stock Market as well as any of our future offering and listing in an overseas market, and, if required, we cannot predict whether or for how long we will be able to obtain such approval or complete such filing” in our most recent annual report on Form 20-F,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 As a result, our operating results and financial statements may not be comparable to the operating results and financial statements of other companies who have adopted the new or revised accounting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the last day of the fiscal year during which we have total annual gross revenue of at least US$1.235 billion; (ii) the last day of our fiscal year following the fifth anniversary of the completion of our initial public offering;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the ordinary shares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Foreign Private Issuer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under the Exchange Act and are exempt from certain provisions of the Exchange Act that are applicable to U.S. domestic public companies,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regulating the solicitation of proxies, consents or authorizations in respect of a security registered under the Exchange Act;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insiders to file public reports of their share ownership and trading activities and liability for insiders who profit from trades made in a short period of time; and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containing unaudited financial and other specified information, or current reports on Form 8-K, upon the occurrence of specified significant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 of Being a Controlled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within the meaning of the Nasdaq Stock Market Rules and, as a result, may rely on exemptions from certain corporate governance requirements that provide protection to shareholders of other companies. As of the date of this prospectus, Mr. Jiaqi Hu, our founder, chairman and chief executive officer, owns more than 50% of the voting power represented by our issued and outstanding ordinary shares. As a result, we will be a “controlled company” as defined under the corporate governance rules of the Nasdaq Stock Market. For so long as we are a “controlled company” under that definition, we are permitted to elect to rely, and may rely, on certain exemptions from corporate governance rules, including the rule that a majority of our board of directors must be independent directors. We do not currently plan to utilize the exemptions available for controlled companies after we complete this offering. If we cease to be a foreign private issuer or if we cannot rely on the home country governance practice exemptions for any reason, we may decide to invoke the exemptions available for a controlled company as long as we remain a controlled company. As a result, you will not have the same protection afforded to shareholders of companies that are subject to these corporate governance requirements. See “Item 3. Key Information — D. Risk Factors — Risks Relating to Our Class A Ordinary Shares — We are a “controlled company” within the meaning of the Nasdaq Stock Market listing rules and, as a result, may rely on exemptions from certain corporate governance requirements that provide protection to shareholders of other companies” in our most recent annual report on Form 20-F,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through Our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 our holding company, or the Parent, may transfer cash to Jiangshan Holding Limited (“Jiangshan BVI”) and Liyun Holding Limited (“Liyun BVI,” together with Jiangshan BVI, the “BVI subsidiaries”), its wholly-owned subsidiaries in the British Virgin Islands, through equity investments, and the BVI subsidiaries may transfer cash to their respective wholly-owned subsidiary in Hong Kong, namely Hong Kong Changfeng Holding Limited (“HK Changfeng”) and Hong Kong Qinan Holding Limited (“HK Qinan,” together with HK Changfeng, the “Hong Kong subsidiaries”) through equity investments. The Hong Kong subsidiaries, in turn, may transfer cash to their respective subsidiary or investee company in the PRC, namely Beijing Junxinyuan Technology Development Co., Ltd. (“Beijing Junxinyuan”) and Julong Online (Beijing) Technology Development Co., Ltd. (“Julong Online”), through equity investments. Similarly, Beijing Junxinyuan and Julong Online may transfer cash to their subsidiaries in the PRC through equity investments. Cash can also be transferred within our organization through intercompany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(i) except that in January 2024, Julong Online transferred RMB59.1 million to Beijing Junxinyuan through an intercompany loan; and in January 2024, Beijing Junxinyuan transferred RMB59.1 million to Julong Online’s former parent company, Beijing Huiju Tianxia Investment Co. Ltd., which is controlled by our founding shareholder, to acquire Julong Online, no transfers of cash through equity investments and intercompany loans had been made across our organization, (ii) no assets other than cash had been transferred between the Parent and a subsidiary, (iii) none of the subsidiaries had made any dividend payment or distribution to the Parent or to any investors, and (iv) no transfers, dividends, or distributions had been made between the Parent and any investors. See “Item 18. Financial Statements — Combined and Consolidated Statements of Cash Flows for the Fiscal Years Ended September 30, 2023, 2024 and 2025” in our most recent annual report on Form 20-F,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stringent controls and procedures for cash flows within our organization. Each transfer of cash among our Cayman Islands holding company and our subsidiaries is subject to internal approval. Our finance department manages and supervises the transfers of funds among the Parent and its subsidiaries with the guidance from Julong Holding Fund Management Policy, an internal policy adopted by the Parent. Under this policy, the Parent is allowed to establish bilateral cash pooling programs between itself, on one hand, and its subsidiaries, on the other hand, to satisfy cash requirements in the form of equity investments and/or entrusted intercompany loans. The finance department closely monitors and manages the cash transfers through our organization by preparing monthly reports and annual budget plans. Each transfer of cash between the Parent and a subsidiary is also subject to internal report and approval process by reference to such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are no restrictions of transferring funds between our Cayman Islands holding company and subsidiaries in the British Virgin Islands and Hong Kong; however, currency exchange control measures imposed by the PRC government may restrict the ability of our subsidiaries in the PRC to transfer their cash to our Cayman Islands holding company and other subsidiaries incorporated outside the PRC. Under the PRC laws and regulations, we are subject to restrictions on foreign exchange and cross-border cash transfers, including to the Parent and U.S. investors. Our ability to distribute earnings to the Parent and U.S. investors is also limited. As the PRC government imposes control over currency conversion pursuant to PRC regulations, it may impose certain limitations on our ability to transfer cash between our company, our subsidiaries, and our investors. primarily reflected in the following aspects: (i) we might be restricted from providing capital or loans to our PRC subsidiaries, which may adversely affect the operations of our PRC subsidiaries, (ii) our PRC subsidiaries may be restricted from paying dividends to us, and (iii) if we are unable to obtain dividends from our PRC subsidiaries, it may adversely impact our dividends distribution to investors. See “Item 3. Key Information — D. Risk Factors — Risks Relating to Doing Business in China — 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 and “Item 3. Key Information — D. Risk Factors —  Risks Relating to Doing Business in China — PRC regulation of loans to and direct investment in PRC entities by offshore holding companies and governmental control of currency conversion may delay or prevent us from using the proceeds of our subsequent offerings to make loans or additional capital contributions to our PRC subsidiaries in China, which could materially and adversely affect our liquidity and our ability to fund and expand our business” in our most recent annual report on Form 20-F, incorporated herein by reference. To the extent cash or assets in our business is in the PRC or Hong Kong or a PRC or Hong Kong entity, such cash or assets may not be available to fund operations or for other use outside of the PRC or Hong Kong due to interventions in, or the impositions of restrictions and limitations on the ability of our holding company, or our subsidiaries by the PRC government to transfer cash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PRC subsidiaries are only permitted to pay dividends only out of their retained earnings. Each of our PRC subsidiaries is required to set aside at least 10% of its after-tax profits each year, after making up for previous year’s accumulated losses, if any, to fund certain statutory reserves, until the aggregate amount of such funds reaches 50% of its registered capital. This portion of our PRC subsidiaries’ respective net assets are prohibited from being distributed to their shareholders as dividends. See “Item 4. Information on the Company — B. Business Overview — Regulations — Regulations on Dividend Distribution” in our most recent annual report on Form 20-F,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retain all of our available funds and any future earnings and cash proceeds from overseas financing activities, to fund the development and growth of our business. As a result, we do not expect to pay any cash dividends in the foreseeable future.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The prospectus supplement and any related free writing prospectus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See “Where You Can Find More Information” and “Incorporation of Certain Documents by Reference” in this prospectus. You should also consider the risks, uncertainties and assumptions discussed under “Part I — Item 3. Key Information — D. Risk Factors” of our most recent annual report on Form 20-F and reports on Form 6-K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Statement Regarding Forward-Looking Statements”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dilution as a result of our securities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securities, your ownership interest will be diluted to the extent the price per share you pay in this offering is higher than the net tangible book value per share immediately after this offering. The prices at which we sell our securities in this offering will vary and these variations may be significant. If the offering price per share in this offering exceeds the net tangible book value per share outstanding prior to this offering, investors will incur immediate and substantial dilution.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 the future offer additional Class A ordinary shares or other securities convertible into or exchangeable for our Class A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Class A ordinary shares, in future transactions may be higher or lower than the price per share paid by investors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net proceeds from this offering, you may not agree with how we use the proceeds, and the proceeds may not be invested successfully.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and our shareholders will not have the opportunity as part of their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See “Use of Proceeds.”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we offer as set forth in the applicable prospectus supplement(s).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and our affairs are governed by our memorandum and articles of association, as amended from time to time and the Companies Act, and the common law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consists of ordinary shares. As of the date of this prospectus, our authorized share capital is US$50,000 divided into 500,000,000 shares of par value of US$0.0001 each, comprising of (i) 250,000,000 Class A ordinary shares of par value of US$0.0001 each, and (ii) 250,000,000 Class B ordinary shares of par value of US$0.0001 each. As of the date of this prospectus, 21,448,632 ordinary shares were issued and outstanding, including (i) 11,448,632 Class A ordinary shares and (ii) 10,000,000 Class B ordinary shares, par value $0.0001 each. The following are summaries of material provisions of our amended and restated memorandum and articles of association as currently in effect and the Companies Act insofar as they relate to the material terms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Objects of Our Company</w:t>
      </w:r>
      <w:r>
        <w:rPr>
          <w:rFonts w:ascii="Times New Roman;Times;Serif" w:hAnsi="Times New Roman;Times;Serif"/>
          <w:b w:val="false"/>
          <w:i w:val="false"/>
          <w:caps w:val="false"/>
          <w:smallCaps w:val="false"/>
          <w:sz w:val="20"/>
        </w:rPr>
        <w:t>. Under our amended and restated memorandum and articles of association, the objects of our company are unrestricted, and we have the full power and authority to carry out any object not prohibited by the law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All of our issued and outstanding ordinary shares are fully paid and non-assessable. Certificates representing the ordinary shares are issued in registered form. Our shareholders who are nonresidents of the Cayman Islands may freely hold and vote their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holders of our ordinary shares are entitled to such dividends as may be declared by our board of directors subject to the Companies Act and our amended and restated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Each Class B ordinary share is convertible into one (1) Class A ordinary share at any time at the option of the holder thereof. The right to convert shall be exercisable by the holder of the Class B ordinary share delivering a written notice to our company that such holder elects to convert a specified number of Class B ordinary shares into Class A ordinary shares. In no event shall Class A ordinary shares be convertible into Class B ordinary shares. Any conversion of Class B ordinary shares into Class A ordinary shares pursuant to our amended and restated memorandum and articles of association shall be effected by means of the re-designation and re-classification of each relevant Class B ordinary share as a Class A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Holders of our Class A ordinary shares and our Class B ordinary shares shall at all times, vote together as one class on all resolutions submitted to a vote by our shareholders at any general meeting of our company. Each Class A ordinary share shall entitle the holder thereof to one (1) vote on all matters subject to vote at general meetings of our company, and each Class B ordinary share shall entitle the holder thereof to twenty (20) votes on all matters subject to vote at general meetings of our company. At any general meeting a resolution put to the vote of the meeting shall be decided by a poll. A poll shall be taken in such manner as the chairman of the meeting directs, and the result of the poll shall be deemed to be the resolution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shareholders holding shares which carry in aggregate (or representing by proxy) not less than one-third (1/3) of all votes attaching to all the issued and outstanding shares that as at the date of the deposit carry the right to vote at general meetings of the Company, shall be a quorum for all purposes. Our company may (but shall not be obliged to) in each calendar year hold a general meeting as its annual general meeting and shall specify the meeting as such in the notices calling it. The chairman or the directors (acting by a resolution of the board) may call general meetings, and they shall on a shareholders’ requisition forthwith proceed to convene an extraordinary general meeting. At least seven (7) calendar days’ notice shall be given for any general meeting.</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by the shareholders requires the affirmative votes of a simple majority of the votes cast by such shareholders as, being entitled to do so, vote in person or, where proxies are allowed, by proxy or, in the case of corporations, by their duly authorized representatives, at a general meeting, while a special resolution requires the affirmative votes of no less than two-thirds of the votes cast by such shareholders as, being entitled to do so, vote in person or, where proxies are allowed, by proxy or, in the case of corporations, by their duly authorized representatives, at a general meeting of which notice specifying the intention to propose the resolution as a special resolution has been duly given. A special resolution is required for important matters such as a change of name or making changes to our amended and restated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 of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Subject to the restrictions of our amended and restated memorandum and articles of association, any of our shareholders may transfer all or any of his or her ordinary shares by an instrument of transfer in writing and in the usual or common form or in a form prescribed by the Nasdaq Stock Market or such other form as approved by our directors in their absolute discretion.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in their absolute discretion, decline to register any transfer of any share which is not fully paid up or on which we have a lien. Our directors may also decline to register any transfer of any share unless (a) the instrument of transfer is lodged with us, accompanied by the certificate for the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share is to be transferred does not exceed four; and (e) a fee of such maximum sum as the Nasdaq Stock Market may determine to be payable, or such lesser sum as our board of directors may from time to time require, is paid to us in respect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directors refuse to register a transfer they shall, within three calendar months after the date on which the instrument of transfer was lodged with our company, send to each of the transferor and the transferee notice of such refusal. The registration of transfers may, on ten (10) calendar days’ notice being given by advertisement in such one or more newspapers, by electronic means or by any other means in accordance with the rules of the </w:t>
      </w:r>
      <w:r>
        <w:rPr>
          <w:rFonts w:ascii="Times New Roman;Times;Serif" w:hAnsi="Times New Roman;Times;Serif"/>
          <w:b w:val="false"/>
          <w:i w:val="false"/>
          <w:caps w:val="false"/>
          <w:smallCaps w:val="false"/>
          <w:sz w:val="20"/>
          <w:shd w:fill="FFFFFF" w:val="clear"/>
        </w:rPr>
        <w:t>Nasdaq Stock Market</w:t>
      </w:r>
      <w:r>
        <w:rPr>
          <w:rFonts w:ascii="Times New Roman;Times;Serif" w:hAnsi="Times New Roman;Times;Serif"/>
          <w:b w:val="false"/>
          <w:i w:val="false"/>
          <w:caps w:val="false"/>
          <w:smallCaps w:val="false"/>
          <w:sz w:val="20"/>
        </w:rPr>
        <w:t>, be suspended and the register closed at such times and for such periods as our directors may, in their absolute discretion, from time to time determine, provided always that the registration of transfers shall not be suspended nor the register closed for more than thirty (30) calendar days in any calendar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If our company shall be wound up, and the assets available for distribution amongst the shareholders shall be insufficient to repay the whole of the share capital, such assets shall be distributed so that, as nearly as may be, the losses shall be borne by the shareholders in proportion to the par value of the shares held by them. If in a winding up the assets available for distribution amongst the shareholders shall be more than sufficient to repay the whole of the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us for unpaid calls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Calls on Shares and Forfeiture of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Subject to the terms of the allotment, our board of directors may from time to time make calls upon shareholders in respect of any moneys unpaid on their shares, and each shareholder shall (subject to receiving at least fourteen (14) calendar days’ notice specifying the time or times of payment) pay to us at the time or times so specified the amount called on such shares. The shares that have been called upon and remain unpaid on the specified time are subject to forfeiture.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Repurchase and Surrender of Shares</w:t>
      </w:r>
      <w:r>
        <w:rPr>
          <w:rFonts w:ascii="Times New Roman;Times;Serif" w:hAnsi="Times New Roman;Times;Serif"/>
          <w:b w:val="false"/>
          <w:i w:val="false"/>
          <w:caps w:val="false"/>
          <w:smallCaps w:val="false"/>
          <w:sz w:val="20"/>
        </w:rPr>
        <w:t>. Subject to the provisions of the Companies Act, we may issue shares that are to be redeemed or are liable to be redeemed at our option or at the option of the holders,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an ordinary resolution of our shareholders.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is able to, immediately following the date on which the payment is proposed to be made,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Variations of Rights of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Whenever the capital of our company is divided into different classes the rights attached to any such class may, subject to any rights or restrictions for the time being attached to any class, only be materially adversely varied with the consent in writing of the holders of at least two-thirds of the issued shares of that class or with the sanction of a special resolution passed at a separate meeting of the holders of the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Inspection of Books and Records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Holders of our ordinary shares will have no general right under Cayman Islands law to inspect or obtain copies of our register of members or our corporate records (save for our amended and restated memorandum and articles of association, register of mortgages and charges and special resolutions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Changes in Capital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We may by ordinary resolution:</w:t>
      </w:r>
    </w:p>
    <w:p>
      <w:pPr>
        <w:pStyle w:val="TextBody"/>
        <w:bidi w:val="0"/>
        <w:spacing w:before="0" w:after="0"/>
        <w:ind w:left="0" w:right="0" w:firstLine="72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such amount as we think expedient;</w:t>
            </w:r>
          </w:p>
        </w:tc>
      </w:tr>
    </w:tbl>
    <w:p>
      <w:pPr>
        <w:pStyle w:val="TextBody"/>
        <w:bidi w:val="0"/>
        <w:spacing w:before="0" w:after="0"/>
        <w:ind w:left="720" w:right="0" w:hanging="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shares, or any of them into shares of an amount smaller than that fixed by our memorandum of association, provided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resolution, have not been taken or agreed to be taken by any person and diminish the amount of our share capital by the amount of the shares so canceled.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our amended and restated memorandum and articles of association, we may, by special resolution, reduce our share capital and any capital redemption reserve in any manner authorized by the Companies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Additional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Our amended and restated memorandum and articles of association authorizes our board of directors to issue additional ordinary shares from time to time as our board of directors shall determine, to the extent there are available authorized but unissued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also authorizes our board of directors may issue from time to time, out of the authorized share capital of our company (other than the authorized but unissued ordinary shares), series of preferred shares in their absolute discretion and without approval of the shareholders; provided, however, before any preferred shares of any such series are issued, the directors may by resolution of directors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such series, the number of preferred shares to constitute such series and the subscription price thereof if different from the par value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voting rights, in addition to any voting rights provided by law, and, if so, the terms of such voting rights, which may be general or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redemption by our company, and, if so, the times, prices and other conditions of such redemption;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any rights to receive any part of the assets available for distribution amongst the shareholders upon the liquidation of our company, and, if so, the terms of such liquidation preference, and the relation which such liquidation preference shall bear to the entitlements of the holders of shares of any other class or any other series of shares;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and restrictions, if any, to be effective while any preferred shares of such series are outstanding upon the payment of dividends or the making of other distributions on, and upon the purchase, redemption or other acquisition by our company of, the existing shares or shares of any other class of shares or any other series of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or restrictions, if any, upon the creation of indebtedness of our company or upon the issue of any additional shares, including additional shares of such series or of any other class of shares or any other series of preferred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powers, preferences and relative, participating, optional and other special rights, and any qualifications, limitations, and restrictions thereof.</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Anti-Takeover Provisions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Some provisions of our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determine the terms and rights of such preferred shares without approval of our shareholders.</w:t>
      </w:r>
    </w:p>
    <w:p>
      <w:pPr>
        <w:pStyle w:val="TextBody"/>
        <w:bidi w:val="0"/>
        <w:spacing w:before="0" w:after="0"/>
        <w:ind w:left="144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Exclusive Forum</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Our amended and restated memorandum and articles of association provide that, unless our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of New York County, New York) shall be the exclusive forum within the U.S. for the resolution of any complaint asserting a cause of action arising out of or relating in any way to the federal securities laws of the U.S., regardless of whether such legal suit, action, or proceeding also involves parties other than us. However, the enforceability of similar choice of forum provisions in other companies’ organizational documents has been challenged in legal proceedings in the U.S., and it is possible that a court could find this type of provision to be inapplicable, unenforceable, or inconsistent with other documents that are relevant to the filing of such lawsuits. If a court were to find the choice of forum provision contained in our amended and restated memorandum and articles of association to be inapplicable or unenforceable in an action, we may incur additional costs associated with resolving such action in other jurisdictions. If upheld, the forum selection clause in our amended and restated memorandum and articles of association may limit a security-holder’s ability to bring a claim against us, our directors and officers, and potentially others in his or her preferred judicial forum, and this limitation may discourage such lawsuits.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Exempted Company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 in the Cayman Islands;</w:t>
            </w:r>
          </w:p>
        </w:tc>
      </w:tr>
    </w:tbl>
    <w:p>
      <w:pPr>
        <w:pStyle w:val="TextBody"/>
        <w:bidi w:val="0"/>
        <w:spacing w:before="0" w:after="0"/>
        <w:ind w:left="720" w:right="0" w:hanging="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make its register of members open to inspection by shareholders of that company;</w:t>
            </w:r>
          </w:p>
        </w:tc>
      </w:tr>
    </w:tbl>
    <w:p>
      <w:pPr>
        <w:pStyle w:val="TextBody"/>
        <w:bidi w:val="0"/>
        <w:spacing w:before="0" w:after="0"/>
        <w:ind w:left="0"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bl>
    <w:p>
      <w:pPr>
        <w:pStyle w:val="TextBody"/>
        <w:bidi w:val="0"/>
        <w:spacing w:before="0" w:after="0"/>
        <w:ind w:left="0" w:right="0" w:hanging="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p>
      <w:pPr>
        <w:pStyle w:val="TextBody"/>
        <w:bidi w:val="0"/>
        <w:spacing w:before="0" w:after="0"/>
        <w:ind w:left="0" w:right="0" w:hanging="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Register of Members</w:t>
      </w:r>
      <w:r>
        <w:rPr>
          <w:rFonts w:ascii="Times New Roman;Times;Serif" w:hAnsi="Times New Roman;Times;Serif"/>
          <w:b w:val="false"/>
          <w:i w:val="false"/>
          <w:caps w:val="false"/>
          <w:smallCaps w:val="false"/>
          <w:sz w:val="20"/>
        </w:rPr>
        <w:t>. Under the Companies Act, we must keep a register of members and there should be entered therein: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our members with the addition of, in the case of a company having a capital divided into shares, a statement of the shares held by each member, and the statement shall (i) distinguish each share by its number (so long as the share has a number); (ii) confirm the amount paid, or agreed to be considered as paid on the shares of each member; (iii) confirm the number and category of shares held by each member; and (iv) confirm whether each relevant category of shares held by a member carries voting rights under the articles of association of the company, and if so, whether such voting rights are conditional;</w:t>
            </w:r>
          </w:p>
        </w:tc>
      </w:tr>
    </w:tbl>
    <w:p>
      <w:pPr>
        <w:pStyle w:val="TextBody"/>
        <w:bidi w:val="0"/>
        <w:spacing w:before="0" w:after="0"/>
        <w:ind w:left="720" w:right="0" w:hanging="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member; and</w:t>
            </w:r>
          </w:p>
        </w:tc>
      </w:tr>
    </w:tbl>
    <w:p>
      <w:pPr>
        <w:pStyle w:val="TextBody"/>
        <w:bidi w:val="0"/>
        <w:spacing w:before="0" w:after="0"/>
        <w:ind w:left="0" w:right="0" w:hanging="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member.</w:t>
            </w:r>
          </w:p>
        </w:tc>
      </w:tr>
    </w:tbl>
    <w:p>
      <w:pPr>
        <w:pStyle w:val="TextBody"/>
        <w:bidi w:val="0"/>
        <w:spacing w:before="0" w:after="0"/>
        <w:ind w:left="144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We will perform the procedure necessary to immediately update the register of members to record and give effect to any issuance of shares by us. Once our register of members has been updated, the shareholders recorded in the register of members will be deemed to have legal title to the shares set against their name.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or series of preferred shares will be described in the related prospectus supplement. This description will include, where applicable, a description of:</w:t>
      </w:r>
    </w:p>
    <w:p>
      <w:pPr>
        <w:pStyle w:val="TextBody"/>
        <w:bidi w:val="0"/>
        <w:spacing w:before="0" w:after="0"/>
        <w:ind w:left="0" w:right="0" w:firstLine="36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nominal value of the preferred shares;</w:t>
            </w:r>
          </w:p>
        </w:tc>
      </w:tr>
    </w:tbl>
    <w:p>
      <w:pPr>
        <w:pStyle w:val="TextBody"/>
        <w:bidi w:val="0"/>
        <w:spacing w:before="0" w:after="0"/>
        <w:ind w:left="720" w:right="0" w:hanging="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preferred shares we are offering;</w:t>
            </w:r>
          </w:p>
        </w:tc>
      </w:tr>
    </w:tbl>
    <w:p>
      <w:pPr>
        <w:pStyle w:val="TextBody"/>
        <w:bidi w:val="0"/>
        <w:spacing w:before="0" w:after="0"/>
        <w:ind w:left="0" w:right="0" w:hanging="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 per preferred share, if any;</w:t>
            </w:r>
          </w:p>
        </w:tc>
      </w:tr>
    </w:tbl>
    <w:p>
      <w:pPr>
        <w:pStyle w:val="TextBody"/>
        <w:bidi w:val="0"/>
        <w:spacing w:before="0" w:after="0"/>
        <w:ind w:left="0" w:right="0" w:hanging="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price per preferred share (or if applicable, the calculation formula of the issue price per preferred share);</w:t>
            </w:r>
          </w:p>
        </w:tc>
      </w:tr>
    </w:tbl>
    <w:p>
      <w:pPr>
        <w:pStyle w:val="TextBody"/>
        <w:bidi w:val="0"/>
        <w:spacing w:before="0" w:after="0"/>
        <w:ind w:left="0"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preferential subscription rights will be issued to existing shareholders;</w:t>
            </w:r>
          </w:p>
        </w:tc>
      </w:tr>
    </w:tbl>
    <w:p>
      <w:pPr>
        <w:pStyle w:val="TextBody"/>
        <w:bidi w:val="0"/>
        <w:spacing w:before="0" w:after="0"/>
        <w:ind w:left="0" w:right="0" w:hanging="0"/>
        <w:jc w:val="both"/>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 per preferred share, dividend period and payment dates and method of calculation for dividends;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dividends will be cumulative or non-cumulative and, if cumulative, the date from which dividends will accumulate;</w:t>
            </w:r>
          </w:p>
        </w:tc>
      </w:tr>
    </w:tbl>
    <w:p>
      <w:pPr>
        <w:pStyle w:val="TextBody"/>
        <w:bidi w:val="0"/>
        <w:spacing w:before="0" w:after="0"/>
        <w:ind w:left="0" w:right="0" w:hanging="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dividends and the maximum length of any such deferral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ranking and preferences of the preferred shares as to dividend rights (preferred dividend if any) and rights if we liquidate, dissolve or wind up the Company;</w:t>
            </w:r>
          </w:p>
        </w:tc>
      </w:tr>
    </w:tbl>
    <w:p>
      <w:pPr>
        <w:pStyle w:val="TextBody"/>
        <w:bidi w:val="0"/>
        <w:spacing w:before="0" w:after="0"/>
        <w:ind w:left="0" w:right="0" w:hanging="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any auction and remarketing,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redemption or repurchase, if applicable, and any restrictions on our ability to exercise those redemption and repurchase rights;</w:t>
            </w:r>
          </w:p>
        </w:tc>
      </w:tr>
    </w:tbl>
    <w:p>
      <w:pPr>
        <w:pStyle w:val="TextBody"/>
        <w:bidi w:val="0"/>
        <w:spacing w:before="0" w:after="0"/>
        <w:ind w:left="0" w:right="0" w:hanging="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listing of the preferred shares on any securities exchange or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will be convertible into our ordinary shares or preferred shares of another category, and, if applicable, conditions of an automatic conversion into ordinary shares, if any, the conversion period, the conversion price, or how such price will be calculated, and under what circumstances it may be adjusted;</w:t>
            </w:r>
          </w:p>
        </w:tc>
      </w:tr>
    </w:tbl>
    <w:p>
      <w:pPr>
        <w:pStyle w:val="TextBody"/>
        <w:bidi w:val="0"/>
        <w:spacing w:before="0" w:after="0"/>
        <w:ind w:left="0" w:right="0" w:hanging="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if any, of the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preemption rights, if any;</w:t>
            </w:r>
          </w:p>
        </w:tc>
      </w:tr>
    </w:tbl>
    <w:p>
      <w:pPr>
        <w:pStyle w:val="TextBody"/>
        <w:bidi w:val="0"/>
        <w:spacing w:before="0" w:after="0"/>
        <w:ind w:left="0" w:right="0" w:hanging="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restrictions on transfer, sale or assignment,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or special Cayman Islands or United States federal income tax considerations applicable to the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limitations on issuances of any class or series of preferred shares ranking senior to or on a parity with the series of preferred shares being issued as to dividend rights and rights if we liquidate, dissolve or wind up our affairs;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rights attached to the preferred shares regarding the corporate governance of our company, which may include, for example representation rights to the board of directors; and</w:t>
            </w:r>
          </w:p>
        </w:tc>
      </w:tr>
    </w:tbl>
    <w:p>
      <w:pPr>
        <w:pStyle w:val="TextBody"/>
        <w:bidi w:val="0"/>
        <w:spacing w:before="0" w:after="0"/>
        <w:ind w:left="0" w:right="0" w:hanging="0"/>
        <w:jc w:val="both"/>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rights, preferences, privileges, qualifications or restrictions of the preferred shares.</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cause the Company to issue from time to time, out of the authorized share capital of the Company (other than the authorized but unissued ordinary shares), series of preferred shares in their absolute discretion and without approval of the shareholders; provided, however, before any preferred shares of any such series are issued, our board of directors shall by resolution of directors determine, with respect to any series of preferred shares, the terms and rights of that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issue preferred shares under this prospectus and the applicable prospectus supplement, the shares will be fully paid and non-assessable and will not have, or be subject to, any preemptive or similar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could adversely affect the voting power of holders of ordinary shares and reduce the likelihood that holders of ordinary shares will receive dividend payments and payments upon liquidation. The issuance could have the effect of decreasing the market price of our ordinary shares. The issuance of preferred shares also could have the effect of delaying, deterring or preventing a change in control of our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Class A ordinary shares. Warrants may be offered independently or together with Class A ordinary shares offered by any prospectus supplement and may be attached to or separate from those securities.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that we file with the SEC, the form of warrant and/or warrant agreement,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warrants will be described in the prospectus supplement relating to the issue. Those terms may include:</w:t>
      </w:r>
    </w:p>
    <w:p>
      <w:pPr>
        <w:pStyle w:val="TextBody"/>
        <w:bidi w:val="0"/>
        <w:spacing w:before="0" w:after="0"/>
        <w:ind w:left="0" w:right="0" w:firstLine="36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warrants;</w:t>
            </w:r>
          </w:p>
        </w:tc>
      </w:tr>
    </w:tbl>
    <w:p>
      <w:pPr>
        <w:pStyle w:val="TextBody"/>
        <w:bidi w:val="0"/>
        <w:spacing w:before="0" w:after="0"/>
        <w:ind w:left="720" w:right="0" w:hanging="0"/>
        <w:jc w:val="both"/>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17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such warrants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(including composite currencies) in which the price of such warrants may be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purchasable upon exercise of such warrants and the procedures and conditions relating to the exercise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the securities purchasable upon exercise of such warrants may be purchased;</w:t>
            </w:r>
          </w:p>
        </w:tc>
      </w:tr>
    </w:tbl>
    <w:p>
      <w:pPr>
        <w:pStyle w:val="TextBody"/>
        <w:bidi w:val="0"/>
        <w:spacing w:before="0" w:after="0"/>
        <w:ind w:left="0" w:right="0" w:hanging="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17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warrants will commence and the date on which such right shall expire;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17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such warrants that may be exercised at any one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such warrants are issued and the number of such warrants issued with each such security;</w:t>
            </w:r>
          </w:p>
        </w:tc>
      </w:tr>
    </w:tbl>
    <w:p>
      <w:pPr>
        <w:pStyle w:val="TextBody"/>
        <w:bidi w:val="0"/>
        <w:spacing w:before="0" w:after="0"/>
        <w:ind w:left="0" w:right="0" w:hanging="0"/>
        <w:jc w:val="both"/>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such warrants and the related securities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bl>
    <w:p>
      <w:pPr>
        <w:pStyle w:val="TextBody"/>
        <w:bidi w:val="0"/>
        <w:spacing w:before="0" w:after="0"/>
        <w:ind w:left="0" w:right="0" w:hanging="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rights to redeem or call the warrants;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federal income tax consequences of holding or exercising the warrants, if material;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warrants, including terms, procedures and limitations relating to the exchange or exercise of such warrants.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its holder to purchase the number of Class A ordinary shares at the exercise price set forth in, or calculable as set forth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specify the place or places where, and the manner in which, warrants may be exercised in the form of warrant, warrant agreement or warrant certificate and applicable prospectus supplement. 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Class A ordinary shares, holders of the warrants will not have any of the rights of holders of Class A ordinary shares purchasable upon exercise, including the right to vote or to receive any payments of dividends or payments upon our liquidation, dissolution or winding up on the Class A ordinary shares purchasable upon exercise, if any.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which may or may not be converted into our Class A ordinary shares. We may issue the debt securities independently or together with any underlying securities, and debt securities may be attached or separate from the underlying securities. In connection with the issuance of any debt securities, we do not intend to issue them pursuant to a trust indenture upon reliance of Section 304(a)(8) of the Trust Indenture Act and Rule 4a-1 promulgated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debt securities, we mean all debt securities issued as part of the same series under the applicable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debt securities that we may offer, including, but not limited to, the following:</w:t>
      </w:r>
    </w:p>
    <w:p>
      <w:pPr>
        <w:pStyle w:val="TextBody"/>
        <w:bidi w:val="0"/>
        <w:spacing w:before="0" w:after="0"/>
        <w:ind w:left="0" w:right="0" w:firstLine="36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debt securities;</w:t>
            </w:r>
          </w:p>
        </w:tc>
      </w:tr>
    </w:tbl>
    <w:p>
      <w:pPr>
        <w:pStyle w:val="TextBody"/>
        <w:bidi w:val="0"/>
        <w:spacing w:before="0" w:after="0"/>
        <w:ind w:left="360" w:right="0" w:hanging="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amount of the debt securities;</w:t>
            </w:r>
          </w:p>
        </w:tc>
      </w:tr>
    </w:tbl>
    <w:p>
      <w:pPr>
        <w:pStyle w:val="TextBody"/>
        <w:bidi w:val="0"/>
        <w:spacing w:before="0" w:after="0"/>
        <w:ind w:left="720" w:right="0" w:hanging="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or amounts of the debt securities will be issued and interest rate;</w:t>
            </w:r>
          </w:p>
        </w:tc>
      </w:tr>
    </w:tbl>
    <w:p>
      <w:pPr>
        <w:pStyle w:val="TextBody"/>
        <w:bidi w:val="0"/>
        <w:spacing w:before="0" w:after="0"/>
        <w:ind w:left="720" w:right="0" w:hanging="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at which the debt securities may be converted;</w:t>
            </w:r>
          </w:p>
        </w:tc>
      </w:tr>
    </w:tbl>
    <w:p>
      <w:pPr>
        <w:pStyle w:val="TextBody"/>
        <w:bidi w:val="0"/>
        <w:spacing w:before="0" w:after="0"/>
        <w:ind w:left="720" w:right="0" w:hanging="0"/>
        <w:jc w:val="left"/>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convert the debt securities will commence and the date on which the right will expire;</w:t>
            </w:r>
          </w:p>
        </w:tc>
      </w:tr>
    </w:tbl>
    <w:p>
      <w:pPr>
        <w:pStyle w:val="TextBody"/>
        <w:bidi w:val="0"/>
        <w:spacing w:before="0" w:after="0"/>
        <w:ind w:left="720" w:right="0" w:hanging="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debt securities that may be converted at any one time;</w:t>
            </w:r>
          </w:p>
        </w:tc>
      </w:tr>
    </w:tbl>
    <w:p>
      <w:pPr>
        <w:pStyle w:val="TextBody"/>
        <w:bidi w:val="0"/>
        <w:spacing w:before="0" w:after="0"/>
        <w:ind w:left="720" w:right="0" w:hanging="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material federal income tax consideration;</w:t>
            </w:r>
          </w:p>
        </w:tc>
      </w:tr>
    </w:tbl>
    <w:p>
      <w:pPr>
        <w:pStyle w:val="TextBody"/>
        <w:bidi w:val="0"/>
        <w:spacing w:before="0" w:after="0"/>
        <w:ind w:left="72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terms of the payoff of the debt securities;</w:t>
            </w:r>
          </w:p>
        </w:tc>
      </w:tr>
    </w:tbl>
    <w:p>
      <w:pPr>
        <w:pStyle w:val="TextBody"/>
        <w:bidi w:val="0"/>
        <w:spacing w:before="0" w:after="0"/>
        <w:ind w:left="720" w:right="0" w:hanging="0"/>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identity of the indenture agent, if any;</w:t>
            </w:r>
          </w:p>
        </w:tc>
      </w:tr>
    </w:tbl>
    <w:p>
      <w:pPr>
        <w:pStyle w:val="TextBody"/>
        <w:bidi w:val="0"/>
        <w:spacing w:before="0" w:after="0"/>
        <w:ind w:left="720" w:right="0" w:hanging="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and conditions relating to the conversion of the debt securities;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debt securities, including terms, procedure and limitation relating to the exchange or conversion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or bearer form. Debt securities issued in registered form, i.e., book-entry form,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of their debt securities, holders of debt securities convertible for ordinary shares will not have any rights of holders of ordinary shares, and will not be entitled to dividend payments, if any, or voting rights of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Class A ordinary shares or other securities offered hereby.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subscription rights in respect of which this prospectus is being delivered:</w:t>
      </w:r>
    </w:p>
    <w:p>
      <w:pPr>
        <w:pStyle w:val="TextBody"/>
        <w:bidi w:val="0"/>
        <w:spacing w:before="0" w:after="0"/>
        <w:ind w:left="0" w:right="0" w:firstLine="360"/>
        <w:jc w:val="both"/>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subscription rights;</w:t>
            </w:r>
          </w:p>
        </w:tc>
      </w:tr>
    </w:tbl>
    <w:p>
      <w:pPr>
        <w:pStyle w:val="TextBody"/>
        <w:bidi w:val="0"/>
        <w:spacing w:before="0" w:after="0"/>
        <w:ind w:left="720" w:right="0" w:hanging="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for which such subscription rights are exercisable;</w:t>
            </w:r>
          </w:p>
        </w:tc>
      </w:tr>
    </w:tbl>
    <w:p>
      <w:pPr>
        <w:pStyle w:val="TextBody"/>
        <w:bidi w:val="0"/>
        <w:spacing w:before="0" w:after="0"/>
        <w:ind w:left="720" w:right="0" w:hanging="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such subscription rights;</w:t>
            </w:r>
          </w:p>
        </w:tc>
      </w:tr>
    </w:tbl>
    <w:p>
      <w:pPr>
        <w:pStyle w:val="TextBody"/>
        <w:bidi w:val="0"/>
        <w:spacing w:before="0" w:after="0"/>
        <w:ind w:left="720" w:right="0" w:hanging="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17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such subscription rights issued to each shareholder;</w:t>
            </w:r>
          </w:p>
        </w:tc>
      </w:tr>
    </w:tbl>
    <w:p>
      <w:pPr>
        <w:pStyle w:val="TextBody"/>
        <w:bidi w:val="0"/>
        <w:spacing w:before="0" w:after="0"/>
        <w:ind w:left="720"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are transferable;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the material Cayman Islands or United States federal income tax considerations applicable to the issuance or exercise of such subscription rights;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subscription rights shall commence, and the date on which such rights shall expire (subject to any extension);</w:t>
            </w:r>
          </w:p>
        </w:tc>
      </w:tr>
    </w:tbl>
    <w:p>
      <w:pPr>
        <w:pStyle w:val="TextBody"/>
        <w:bidi w:val="0"/>
        <w:spacing w:before="0" w:after="0"/>
        <w:ind w:left="720" w:right="0" w:hanging="0"/>
        <w:jc w:val="left"/>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170"/>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include an over-subscription privilege with respect to unsubscribed securities;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other purchase arrangement that we may enter into in connection with the subscription rights offering;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subscription rights, including terms, procedures and limitations relating to the exchange and exercise of such subscription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Class A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720" w:right="0" w:hanging="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unit agreement under which the units will be issued;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 and</w:t>
            </w:r>
          </w:p>
        </w:tc>
      </w:tr>
    </w:tbl>
    <w:p>
      <w:pPr>
        <w:pStyle w:val="TextBody"/>
        <w:bidi w:val="0"/>
        <w:spacing w:before="0" w:after="0"/>
        <w:ind w:left="72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will be issued in fully registered or global form.</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ww_001"/>
      <w:bookmarkEnd w:id="14"/>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income tax considerations relating to the purchase, ownership and disposition of any of the securities offered by this prospectus will be set forth in the applicable prospectus supplement relating to the offering of those securities.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and sold from time to time pursuant to one or more of the following methods:</w:t>
      </w:r>
    </w:p>
    <w:p>
      <w:pPr>
        <w:pStyle w:val="TextBody"/>
        <w:bidi w:val="0"/>
        <w:spacing w:before="0" w:after="0"/>
        <w:ind w:left="0" w:right="0" w:firstLine="36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bl>
    <w:p>
      <w:pPr>
        <w:pStyle w:val="TextBody"/>
        <w:bidi w:val="0"/>
        <w:spacing w:before="0" w:after="0"/>
        <w:ind w:left="720" w:right="0" w:hanging="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w:t>
            </w:r>
          </w:p>
        </w:tc>
      </w:tr>
    </w:tbl>
    <w:p>
      <w:pPr>
        <w:pStyle w:val="TextBody"/>
        <w:bidi w:val="0"/>
        <w:spacing w:before="0" w:after="0"/>
        <w:ind w:left="720" w:right="0" w:hanging="0"/>
        <w:jc w:val="left"/>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broker-dealers (acting as agent or principal);</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within the meaning of Rule 415(a)(4) of the Securities Act, to or through a market maker or into an existing trading market, on an exchange, or otherwise;</w:t>
            </w:r>
          </w:p>
        </w:tc>
      </w:tr>
    </w:tbl>
    <w:p>
      <w:pPr>
        <w:pStyle w:val="TextBody"/>
        <w:bidi w:val="0"/>
        <w:spacing w:before="0" w:after="0"/>
        <w:ind w:left="720" w:right="0" w:hanging="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purchasers, through a specific bidding or auction process or otherwise; or</w:t>
            </w:r>
          </w:p>
        </w:tc>
      </w:tr>
    </w:tbl>
    <w:p>
      <w:pPr>
        <w:pStyle w:val="TextBody"/>
        <w:bidi w:val="0"/>
        <w:spacing w:before="0" w:after="0"/>
        <w:ind w:left="72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combination of any such methods of sale.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or broker-dealers may be paid compensation for offering and selling the securities. That compensation may be in the form of discounts, concessions or commissions to be received from us, from the purchasers of the securities or from both us and the purchasers.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securities are offered by this prospectus, the prospectus supplement, if required, will set forth:</w:t>
      </w:r>
    </w:p>
    <w:p>
      <w:pPr>
        <w:pStyle w:val="TextBody"/>
        <w:bidi w:val="0"/>
        <w:spacing w:before="0" w:after="0"/>
        <w:ind w:left="0" w:right="0" w:firstLine="36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any underwriter, dealer or agent involved in the offer and sale of the securities;</w:t>
            </w:r>
          </w:p>
        </w:tc>
      </w:tr>
    </w:tbl>
    <w:p>
      <w:pPr>
        <w:pStyle w:val="TextBody"/>
        <w:bidi w:val="0"/>
        <w:spacing w:before="0" w:after="0"/>
        <w:ind w:left="720" w:right="0" w:hanging="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offering;</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concessions or commissions and other items constituting compensation received by the underwriters, broker-dealers or agents;</w:t>
            </w:r>
          </w:p>
        </w:tc>
      </w:tr>
    </w:tbl>
    <w:p>
      <w:pPr>
        <w:pStyle w:val="TextBody"/>
        <w:bidi w:val="0"/>
        <w:spacing w:before="0" w:after="0"/>
        <w:ind w:left="720" w:right="0" w:hanging="0"/>
        <w:jc w:val="left"/>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17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 under which any underwriters may purchase additional securities from us; and</w:t>
            </w:r>
          </w:p>
        </w:tc>
      </w:tr>
    </w:tbl>
    <w:p>
      <w:pPr>
        <w:pStyle w:val="TextBody"/>
        <w:bidi w:val="0"/>
        <w:spacing w:before="0" w:after="0"/>
        <w:ind w:left="720" w:right="0" w:hanging="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at market prices prevailing at the time of sale, at prices relating to the prevailing market prices or at negotiated prices. The distribution of securities may be effected from time to time in one or more transactions, by means of one or more of the following transactions, which may include cross or block trades:</w:t>
      </w:r>
    </w:p>
    <w:p>
      <w:pPr>
        <w:pStyle w:val="TextBody"/>
        <w:bidi w:val="0"/>
        <w:spacing w:before="0" w:after="0"/>
        <w:ind w:left="0" w:right="0" w:firstLine="36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on the Nasdaq Stock Market or any other organized market where the securities may be traded;</w:t>
            </w:r>
          </w:p>
        </w:tc>
      </w:tr>
    </w:tbl>
    <w:p>
      <w:pPr>
        <w:pStyle w:val="TextBody"/>
        <w:bidi w:val="0"/>
        <w:spacing w:before="0" w:after="0"/>
        <w:ind w:left="72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bl>
    <w:p>
      <w:pPr>
        <w:pStyle w:val="TextBody"/>
        <w:bidi w:val="0"/>
        <w:spacing w:before="0" w:after="0"/>
        <w:ind w:left="720" w:right="0" w:hanging="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negotiated transactions;</w:t>
            </w:r>
          </w:p>
        </w:tc>
      </w:tr>
    </w:tbl>
    <w:p>
      <w:pPr>
        <w:pStyle w:val="TextBody"/>
        <w:bidi w:val="0"/>
        <w:spacing w:before="0" w:after="0"/>
        <w:ind w:left="720" w:right="0" w:hanging="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delayed delivery contracts or other contractual commitments; or</w:t>
            </w:r>
          </w:p>
        </w:tc>
      </w:tr>
    </w:tbl>
    <w:p>
      <w:pPr>
        <w:pStyle w:val="TextBody"/>
        <w:bidi w:val="0"/>
        <w:spacing w:before="0" w:after="0"/>
        <w:ind w:left="720" w:right="0" w:hanging="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such methods of sale.</w:t>
            </w:r>
          </w:p>
        </w:tc>
      </w:tr>
    </w:tbl>
    <w:p>
      <w:pPr>
        <w:pStyle w:val="TextBody"/>
        <w:bidi w:val="0"/>
        <w:spacing w:before="0" w:after="0"/>
        <w:ind w:left="9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 sale, securities will be acquired by the underwriters for their own account and may be resold from time to time in one or more transactions. Our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This prospectus and the prospectus supplement will be used by the underwriters to resell the shares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5% or more of the net proceeds of any offering of our securities made under this prospectus will be received by a FINRA member participating in the offering or affiliates or associated persons of such FINRA member, the offering will be conducted in accordance with FINRA Rule 5121.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securities laws of certain states, if applicable, the securities offered by this prospectus will be offered and sold in those states only through registered or licensed brokers or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to indemnification by us against specified liabilities, including liabilities incurred under the Securities Act, or to contribution by us to payments they may be required to make in respect of such liabilities. The prospectus supplement will describe the terms and conditions of such indemnification or contribution. Some of the agents, underwriters or dealers, or their respective affiliates, may be customers of, engage in transactions with or perform services for us in the ordinary course of business. We will describe in the prospectus supplement naming the underwriter the nature of any such relationship.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 For a description of these activities, see the information under the heading “Underwriting”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Information—E. Taxation” in our most current annual report on Form 20-F, which is incorporated herein by reference, as updated by our subsequent filings under the Exchange Act and, if applicable, in any accompanying prospectus supplement or relevant free writing prospectus.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to take advantage of certain benefits associated with being a Cayman Islands exempted company, such as:</w:t>
      </w:r>
    </w:p>
    <w:p>
      <w:pPr>
        <w:pStyle w:val="TextBody"/>
        <w:bidi w:val="0"/>
        <w:spacing w:before="0" w:after="0"/>
        <w:ind w:left="0" w:right="0" w:firstLine="36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stability;</w:t>
            </w:r>
          </w:p>
        </w:tc>
      </w:tr>
    </w:tbl>
    <w:p>
      <w:pPr>
        <w:pStyle w:val="TextBody"/>
        <w:bidi w:val="0"/>
        <w:spacing w:before="0" w:after="0"/>
        <w:ind w:left="720"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17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effective judicial system;</w:t>
            </w:r>
          </w:p>
        </w:tc>
      </w:tr>
    </w:tbl>
    <w:p>
      <w:pPr>
        <w:pStyle w:val="TextBody"/>
        <w:bidi w:val="0"/>
        <w:spacing w:before="0" w:after="0"/>
        <w:ind w:left="720" w:right="0" w:hanging="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favorable tax system;</w:t>
            </w:r>
          </w:p>
        </w:tc>
      </w:tr>
    </w:tbl>
    <w:p>
      <w:pPr>
        <w:pStyle w:val="TextBody"/>
        <w:bidi w:val="0"/>
        <w:spacing w:before="0" w:after="0"/>
        <w:ind w:left="720" w:right="0" w:hanging="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exchange control or currency restrictions; and</w:t>
            </w:r>
          </w:p>
        </w:tc>
      </w:tr>
    </w:tbl>
    <w:p>
      <w:pPr>
        <w:pStyle w:val="TextBody"/>
        <w:bidi w:val="0"/>
        <w:spacing w:before="0" w:after="0"/>
        <w:ind w:left="72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professional and support services.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developed body of securities laws as compared to the United States and these securities laws provide significantly less protection to investors as compared to the United States; and</w:t>
            </w:r>
          </w:p>
        </w:tc>
      </w:tr>
    </w:tbl>
    <w:p>
      <w:pPr>
        <w:pStyle w:val="TextBody"/>
        <w:bidi w:val="0"/>
        <w:spacing w:before="0" w:after="0"/>
        <w:ind w:left="720" w:right="0" w:hanging="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the standing to sue before the federal courts of the United States.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operations are conducted through our PRC subsidiaries in China, and substantially all of our assets are located in China. All of our directors and executive officers reside in mainland China and are PRC nationals.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to receive service of process with respect to any action brought against us under the securities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Appleby, our counsel as to Cayman Islands law, that the United States and the Cayman Islands do not have a treaty providing for reciprocal recognition and enforcement of judgments of U.S. courts in civil and commercial matters.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been advised by Appleby that any final and conclusive judgment for a definite sum (not being a sum payable in respect of taxes or other charges of a like nature nor a fine or other penalty) and/or certain non-monetary judgments rendered in any action or proceedings brought against our company on the basis of documents in a U.S. court will be recognized as a valid judgment by the courts of the Cayman Islands without re-examination of the merits of the case. On general principles, such proceedings would be expected to be successful provided that the court which gave the judgment was competent to hear the action in accordance with private international law principles as applied in the Cayman Islands and the judgment is not contrary to public policy in the Cayman Islands, has not been obtained by fraud or in proceedings contrary to natural justice. Because the courts of the Cayman Islands have yet to rule on whether such judgments obtained from the United States courts under the civil liability provisions of the securities laws are penal or punitive in nature, it is uncertain whether such civil liability judgments from U.S. courts would be enforceable in the Cayman Islands.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Dacheng Law Offices, LLP, our counsel as to PRC law, has advised us that there is uncertainty as to whether the courts of China would recognize or enforce judgments of United States courts obtained against us or our directors or officers predicated upon the civil liability provisions of the securities laws of the United States or any state in the United States. Beijing Dacheng Law Offices, LLP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prospectus.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judgment of United States courts will be directly enforced in Hong Kong, as the United States and Hong Kong do not have a treaty or other arrangements providing for reciprocal recognition and enforcement of judgments of courts of the United States in civil and commercial matters. However, a foreign judgment may be enforced in Hong Kong at common law by bringing an action in a Hong Kong court since the judgment may be regarded as creating a debt between the parties to it, provided that the foreign judgment, among other things, is a final judgment conclusive upon the merits of the claim and is for a liquidated amount in a civil matter and not in respect of taxes, fines, penalties, or similar charges. Such a judgment may not, in any event, be so enforced in Hong Kong if (i) it was obtained by fraud; (ii) the proceedings in which the judgment was obtained were opposed to natural justice; (iii) its enforcement or recognition would be contrary to the public policy of Hong Kong; (iv) the court of the United States was not jurisdictionally competent; or (v) the judgment was in conflict with a prior Hong Kong judgment.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EXPENSES RELATING TO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 All amounts are estimated except for the SEC registration fee. Expenses of any of the securities offered by this prospectus will be set forth in the applicable prospectus supplement(s) relating to the offering of those securities.</w:t>
      </w:r>
    </w:p>
    <w:p>
      <w:pPr>
        <w:pStyle w:val="TextBody"/>
        <w:bidi w:val="0"/>
        <w:spacing w:before="0" w:after="0"/>
        <w:ind w:left="0" w:right="0" w:firstLine="360"/>
        <w:jc w:val="both"/>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3200"/>
        <w:gridCol w:w="60"/>
        <w:gridCol w:w="140"/>
        <w:gridCol w:w="980"/>
        <w:gridCol w:w="75"/>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27,620.00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Printing and Engraving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These fees and expenses depend on the securities offered and the number of issuances, and accordingly cannot be estimated at this time and will be reflected in the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DLA Piper UK LLP with respect to certain legal matters as to United States federal securities and New York State law. The issuance of securities offered by this prospectus and certain legal matters relating to the offering as to Cayman Islands law will be passed upon for us by Appleby. Certain legal matters as to PRC law will be passed upon for us by Beijing Dacheng Law Offices, LLP. DLA Piper UK LLP may rely upon Appleby with respect to matters governed by Cayman Islands law, and Beijing Dacheng Law Offices, LLP with respect to matters governed by PRC law. Certain legal matters in connection with any offering made pursuant to this prospectus will be passed upon for the underwriters by a law firm or firms named in the applicable prospectus supplement.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 this prospectus by reference to the annual report on Form 20-F for the year ended September 30, 2025 have been so incorporated in reliance on the report of FORTUNE CPA, INC,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business address of FORTUNE CPA, INC is 12361 Lewis St Ste 202 Garden Grove, CA 92840.</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o_001"/>
      <w:bookmarkEnd w:id="20"/>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(i) we are exempt from the rules of the Exchange Act prescribing the furnishing and content of proxy statements to shareholders, (ii) our officers and directors are exempt from the short-swing profit recovery provisions of Section 16 of the Exchange Act, and (iii) our principal shareholders are exempt from the reporting and short-swing profit recovery provisions of Section 16 of the Exchange Act and the rules under the Exchange Act with respect to their purchases and sales of our securities. 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and does not contain all the information in the registration statement. You will find additional information about us in the registration statement.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 w:name="qw_001"/>
      <w:bookmarkEnd w:id="21"/>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indemnification of officers and directors, except to the extent any such provision may be held by the Cayman Islands courts to be contrary to the public policy, such as providing indemnification against civil fraud or the consequences of committing a crime. Our current effective memorandum and articles of association provide that each officer or director of our Company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form of indemnification agreements, we will agree to indemnify our directors and executive officers against certain liabilities and expenses incurred by such persons in connection with claims made by reason of their being such a director or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beginning on page II-4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230"/>
        <w:gridCol w:w="38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 (3)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by the registrant pursuant to Rule 424(b)(3)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provisions referred to in Item 8 hereof,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1"/>
        <w:gridCol w:w="60"/>
        <w:gridCol w:w="9314"/>
      </w:tblGrid>
      <w:tr>
        <w:trPr/>
        <w:tc>
          <w:tcPr>
            <w:tcW w:w="83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83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r>
      <w:tr>
        <w:trPr/>
        <w:tc>
          <w:tcPr>
            <w:tcW w:w="83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FFFF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Memorandum and Articles of Association of the Registrant, as currently in effect (incorporated herein by reference to Exhibit 3.2 to the Form F-1 filed on June 6, 2025 (File No. 333-286214))</w:t>
              </w:r>
            </w:hyperlink>
          </w:p>
        </w:tc>
      </w:tr>
      <w:tr>
        <w:trPr/>
        <w:tc>
          <w:tcPr>
            <w:tcW w:w="83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4.1 to the Form F-1 filed on April 22, 2025 (File No. 333-286214))</w:t>
              </w:r>
            </w:hyperlink>
          </w:p>
        </w:tc>
      </w:tr>
      <w:tr>
        <w:trPr/>
        <w:tc>
          <w:tcPr>
            <w:tcW w:w="83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Designation for Preferred Shares</w:t>
            </w:r>
          </w:p>
        </w:tc>
      </w:tr>
      <w:tr>
        <w:trPr/>
        <w:tc>
          <w:tcPr>
            <w:tcW w:w="83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Specimen Warrant Certificate</w:t>
            </w:r>
          </w:p>
        </w:tc>
      </w:tr>
      <w:tr>
        <w:trPr/>
        <w:tc>
          <w:tcPr>
            <w:tcW w:w="83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Agreement</w:t>
            </w:r>
          </w:p>
        </w:tc>
      </w:tr>
      <w:tr>
        <w:trPr/>
        <w:tc>
          <w:tcPr>
            <w:tcW w:w="83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Debt Security</w:t>
            </w:r>
          </w:p>
        </w:tc>
      </w:tr>
      <w:tr>
        <w:trPr/>
        <w:tc>
          <w:tcPr>
            <w:tcW w:w="83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Subscription Rights Agreement (including subscription rights certificate)</w:t>
            </w:r>
          </w:p>
        </w:tc>
      </w:tr>
      <w:tr>
        <w:trPr/>
        <w:tc>
          <w:tcPr>
            <w:tcW w:w="83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Specimen Unit Certificate</w:t>
            </w:r>
          </w:p>
        </w:tc>
      </w:tr>
      <w:tr>
        <w:trPr/>
        <w:tc>
          <w:tcPr>
            <w:tcW w:w="83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FFFF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Appleby regarding the validity of the securities being registered and certain Cayman Islands legal matters</w:t>
              </w:r>
            </w:hyperlink>
          </w:p>
        </w:tc>
      </w:tr>
      <w:tr>
        <w:trPr/>
        <w:tc>
          <w:tcPr>
            <w:tcW w:w="83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CCEEFF" w:val="clear"/>
            <w:tcMar>
              <w:bottom w:w="0" w:type="dxa"/>
            </w:tcMar>
            <w:vAlign w:val="center"/>
          </w:tcPr>
          <w:p>
            <w:pPr>
              <w:pStyle w:val="TableContents"/>
              <w:bidi w:val="0"/>
              <w:spacing w:before="0" w:after="283"/>
              <w:jc w:val="both"/>
              <w:rPr/>
            </w:pPr>
            <w:hyperlink w:anchor="ex5-2.htm">
              <w:r>
                <w:rPr>
                  <w:rStyle w:val="InternetLink"/>
                  <w:rFonts w:ascii="Times New Roman;Times;Serif" w:hAnsi="Times New Roman;Times;Serif"/>
                  <w:b w:val="false"/>
                  <w:i w:val="false"/>
                  <w:caps w:val="false"/>
                  <w:smallCaps w:val="false"/>
                  <w:sz w:val="20"/>
                </w:rPr>
                <w:t>Opinion of Beijing Dacheng Law Offices, LLP regarding certain PRC law matters</w:t>
              </w:r>
            </w:hyperlink>
          </w:p>
        </w:tc>
      </w:tr>
      <w:tr>
        <w:trPr/>
        <w:tc>
          <w:tcPr>
            <w:tcW w:w="83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FFFF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Appleby regarding certain Cayman Islands tax matters (included in Exhibit 5.1)</w:t>
              </w:r>
            </w:hyperlink>
          </w:p>
        </w:tc>
      </w:tr>
      <w:tr>
        <w:trPr/>
        <w:tc>
          <w:tcPr>
            <w:tcW w:w="83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CCEEFF" w:val="clear"/>
            <w:tcMar>
              <w:bottom w:w="0" w:type="dxa"/>
            </w:tcMar>
            <w:vAlign w:val="center"/>
          </w:tcPr>
          <w:p>
            <w:pPr>
              <w:pStyle w:val="TableContents"/>
              <w:bidi w:val="0"/>
              <w:spacing w:before="0" w:after="283"/>
              <w:jc w:val="both"/>
              <w:rPr/>
            </w:pPr>
            <w:hyperlink w:anchor="ex5-2.htm">
              <w:r>
                <w:rPr>
                  <w:rStyle w:val="InternetLink"/>
                  <w:rFonts w:ascii="Times New Roman;Times;Serif" w:hAnsi="Times New Roman;Times;Serif"/>
                  <w:b w:val="false"/>
                  <w:i w:val="false"/>
                  <w:caps w:val="false"/>
                  <w:smallCaps w:val="false"/>
                  <w:sz w:val="20"/>
                </w:rPr>
                <w:t>Opinion of Beijing Dacheng Law Offices, LLP regarding certain PRC tax matters (included in Exhibit 5.2)</w:t>
              </w:r>
            </w:hyperlink>
          </w:p>
        </w:tc>
      </w:tr>
      <w:tr>
        <w:trPr/>
        <w:tc>
          <w:tcPr>
            <w:tcW w:w="83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FFFFFF" w:val="clear"/>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FORTUNE CPA, INC</w:t>
              </w:r>
            </w:hyperlink>
          </w:p>
        </w:tc>
      </w:tr>
      <w:tr>
        <w:trPr/>
        <w:tc>
          <w:tcPr>
            <w:tcW w:w="83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CCEE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Appleby (included in Exhibit 5.1)</w:t>
              </w:r>
            </w:hyperlink>
          </w:p>
        </w:tc>
      </w:tr>
      <w:tr>
        <w:trPr/>
        <w:tc>
          <w:tcPr>
            <w:tcW w:w="83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FFFFFF" w:val="clear"/>
            <w:tcMar>
              <w:bottom w:w="0" w:type="dxa"/>
            </w:tcMar>
            <w:vAlign w:val="center"/>
          </w:tcPr>
          <w:p>
            <w:pPr>
              <w:pStyle w:val="TableContents"/>
              <w:bidi w:val="0"/>
              <w:spacing w:before="0" w:after="283"/>
              <w:jc w:val="both"/>
              <w:rPr/>
            </w:pPr>
            <w:hyperlink w:anchor="ex23-3.htm">
              <w:r>
                <w:rPr>
                  <w:rStyle w:val="InternetLink"/>
                  <w:rFonts w:ascii="Times New Roman;Times;Serif" w:hAnsi="Times New Roman;Times;Serif"/>
                  <w:b w:val="false"/>
                  <w:i w:val="false"/>
                  <w:caps w:val="false"/>
                  <w:smallCaps w:val="false"/>
                  <w:sz w:val="20"/>
                </w:rPr>
                <w:t>Consent of Beijing Dacheng Law Offices, LLP</w:t>
              </w:r>
            </w:hyperlink>
          </w:p>
        </w:tc>
      </w:tr>
      <w:tr>
        <w:trPr/>
        <w:tc>
          <w:tcPr>
            <w:tcW w:w="83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CCEEFF" w:val="clear"/>
            <w:tcMar>
              <w:bottom w:w="0" w:type="dxa"/>
            </w:tcM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Power of Attorney (included in signature page to the initial filing of this registration statement)</w:t>
              </w:r>
            </w:hyperlink>
          </w:p>
        </w:tc>
      </w:tr>
      <w:tr>
        <w:trPr/>
        <w:tc>
          <w:tcPr>
            <w:tcW w:w="83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4" w:type="dxa"/>
            <w:tcBorders/>
            <w:shd w:fill="FFFFFF" w:val="clear"/>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if applicable, by amendment, or as an exhibit to a report on Form 6-K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Beijing, People’s Republic of China, on July 24, 2026.</w:t>
      </w:r>
    </w:p>
    <w:p>
      <w:pPr>
        <w:pStyle w:val="TextBody"/>
        <w:bidi w:val="0"/>
        <w:spacing w:before="0" w:after="0"/>
        <w:ind w:left="0" w:right="0" w:hanging="0"/>
        <w:jc w:val="center"/>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18"/>
      <w:bookmarkEnd w:id="2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Mr. Jiaqi Hu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F-3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850"/>
        <w:gridCol w:w="60"/>
        <w:gridCol w:w="3620"/>
        <w:gridCol w:w="60"/>
        <w:gridCol w:w="1145"/>
      </w:tblGrid>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Jiaqi Hu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Airu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Airu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and accounting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Jinying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Jinying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Yuling Bai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Yuling Bai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Zhaobo Liu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Zhaobo Liu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Shengshan Sun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Shengshan Sun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Julong Holding Limited has signed this registration statement or amendment thereto in the City of New York, New York on July 24, 2026.</w:t>
      </w:r>
    </w:p>
    <w:p>
      <w:pPr>
        <w:pStyle w:val="TextBody"/>
        <w:bidi w:val="0"/>
        <w:spacing w:before="0" w:after="0"/>
        <w:ind w:left="0" w:right="0" w:firstLine="36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545"/>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Colleen A. De Vries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Colleen A. De Vries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5-1.htm"/>
      <w:bookmarkStart w:id="24" w:name="ksex5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2560320" cy="2101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2560320" cy="21018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3110"/>
        <w:gridCol w:w="60"/>
        <w:gridCol w:w="3485"/>
      </w:tblGrid>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Julong Holding Limited</w:t>
            </w:r>
            <w:r>
              <w:rPr>
                <w:rFonts w:ascii="Times New Roman;Times;Serif" w:hAnsi="Times New Roman;Times;Serif"/>
                <w:b w:val="false"/>
                <w:i w:val="false"/>
                <w:caps w:val="false"/>
                <w:smallCaps w:val="false"/>
                <w:sz w:val="20"/>
              </w:rPr>
              <w:t xml:space="preserve"> </w:t>
              <w:br/>
              <w:t xml:space="preserve">Palm Grove Unit 4, 265 Smith Road </w:t>
              <w:br/>
              <w:t xml:space="preserve">George Town, </w:t>
              <w:br/>
              <w:t xml:space="preserve">P.O. Box 52A Edgewater Way, #1653 </w:t>
              <w:br/>
              <w:t xml:space="preserve">Grand Cayman KY1-9006 </w:t>
              <w:br/>
              <w:t>Cayman Islands</w:t>
              <w:br/>
            </w:r>
            <w:r>
              <w:rPr>
                <w:rFonts w:ascii="Times New Roman;Times;Serif" w:hAnsi="Times New Roman;Times;Serif"/>
                <w:b/>
                <w:i w:val="false"/>
                <w:caps w:val="false"/>
                <w:smallCaps w:val="false"/>
                <w:sz w:val="20"/>
              </w:rPr>
              <w:br/>
              <w:t>Attn:</w:t>
            </w:r>
            <w:r>
              <w:rPr>
                <w:rFonts w:ascii="Times New Roman;Times;Serif" w:hAnsi="Times New Roman;Times;Serif"/>
                <w:b w:val="false"/>
                <w:i w:val="false"/>
                <w:caps w:val="false"/>
                <w:smallCaps w:val="false"/>
                <w:sz w:val="20"/>
              </w:rPr>
              <w:t xml:space="preserve"> The Board of Directors</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jc w:val="right"/>
              <w:rPr>
                <w:rFonts w:ascii="Times Ne Roman;Times;Serif" w:hAnsi="Times Ne Roman;Times;Serif"/>
                <w:b w:val="false"/>
                <w:i w:val="false"/>
                <w:caps w:val="false"/>
                <w:smallCaps w:val="false"/>
                <w:sz w:val="20"/>
              </w:rPr>
            </w:pPr>
            <w:r>
              <w:rPr>
                <w:rFonts w:ascii="Times Ne Roman;Times;Serif" w:hAnsi="Times Ne Roman;Times;Serif"/>
                <w:b w:val="false"/>
                <w:i w:val="false"/>
                <w:caps w:val="false"/>
                <w:smallCaps w:val="false"/>
                <w:sz w:val="20"/>
              </w:rPr>
              <w:t xml:space="preserve">Email dbulley@applebyglobal.com </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Direct Dial +852 2905 5770 </w:t>
              <w:br/>
              <w:t>Tel +852 2523 8123</w:t>
              <w:br/>
              <w:br/>
              <w:br/>
              <w:br/>
            </w:r>
            <w:r>
              <w:rPr>
                <w:rFonts w:ascii="Times New Roman;Times;Serif" w:hAnsi="Times New Roman;Times;Serif"/>
                <w:b/>
                <w:i w:val="false"/>
                <w:caps w:val="false"/>
                <w:smallCaps w:val="false"/>
                <w:sz w:val="20"/>
              </w:rPr>
              <w:t>Appleby Ref</w:t>
            </w:r>
            <w:r>
              <w:rPr>
                <w:rFonts w:ascii="Times New Roman;Times;Serif" w:hAnsi="Times New Roman;Times;Serif"/>
                <w:b w:val="false"/>
                <w:i w:val="false"/>
                <w:caps w:val="false"/>
                <w:smallCaps w:val="false"/>
                <w:sz w:val="20"/>
              </w:rPr>
              <w:t xml:space="preserve"> 476202.0001 </w:t>
              <w:br/>
              <w:br/>
              <w:t>24 July 2026</w:t>
            </w:r>
          </w:p>
        </w:tc>
      </w:tr>
    </w:tbl>
    <w:p>
      <w:pPr>
        <w:pStyle w:val="TextBody"/>
        <w:bidi w:val="0"/>
        <w:jc w:val="left"/>
        <w:rPr/>
      </w:pPr>
      <w:r>
        <w:rPr/>
        <w:t> </w:t>
      </w:r>
    </w:p>
    <w:p>
      <w:pPr>
        <w:pStyle w:val="TextBody"/>
        <w:bidi w:val="0"/>
        <w:spacing w:before="0" w:after="0"/>
        <w:ind w:left="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64"/>
        <w:gridCol w:w="60"/>
        <w:gridCol w:w="8981"/>
      </w:tblGrid>
      <w:tr>
        <w:trPr/>
        <w:tc>
          <w:tcPr>
            <w:tcW w:w="1164" w:type="dxa"/>
            <w:tcBorders/>
            <w:vAlign w:val="center"/>
          </w:tcPr>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Suites 3504B-06</w:t>
              <w:br/>
              <w:t>35/F, Two Taikoo Place</w:t>
              <w:br/>
              <w:t>979 King’s Road</w:t>
              <w:br/>
              <w:t>Quarry Bay</w:t>
              <w:br/>
              <w:t>Hong Kong</w:t>
            </w:r>
          </w:p>
          <w:p>
            <w:pPr>
              <w:pStyle w:val="TableContents"/>
              <w:bidi w:val="0"/>
              <w:spacing w:before="0" w:after="0"/>
              <w:ind w:left="0" w:right="0" w:hanging="0"/>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Tel +852 2523 8123</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applebyglobal.com</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Managing Partner</w:t>
              <w:br/>
              <w:t>David Bulley</w:t>
              <w:br/>
              <w:br/>
              <w:t> </w:t>
            </w:r>
          </w:p>
          <w:p>
            <w:pPr>
              <w:pStyle w:val="TableContents"/>
              <w:bidi w:val="0"/>
              <w:spacing w:before="0" w:after="0"/>
              <w:ind w:left="0" w:right="0" w:hanging="0"/>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Partners</w:t>
              <w:br/>
              <w:t>Fiona Chan</w:t>
              <w:br/>
              <w:t>Kitty Chan</w:t>
              <w:br/>
              <w:t>Vincent Chan</w:t>
              <w:br/>
              <w:t>Chris Cheng</w:t>
              <w:br/>
              <w:t>Richard Grasby</w:t>
              <w:br/>
              <w:t>Judy Lee</w:t>
              <w:br/>
              <w:t>Michael Makridakis</w:t>
              <w:br/>
              <w:t xml:space="preserve">John McCarroll SC </w:t>
              <w:br/>
              <w:t>Lorinda Peasland</w:t>
              <w:br/>
              <w:t>Eliot Simpson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81"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act as counsel as to Cayman Islands law to the Company, and this legal opinion as to Cayman Islands law is addressed to you in connection with the Company’s filing of a registration statement on Form F-3 pursuant to the Securities Act of 1933 of the United States of America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which term does not include any other document or agreement whether or not specifically referred to therein or attached as an exhibit or schedule thereto)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relating to up to US$200,000,000 or its equivalent in any other currency, currency units, or composite currency or currencies, of the Class A ordinary shares of the Company, par value US$0.0001 per share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Class A Ordinary Share</w:t>
            </w:r>
            <w:r>
              <w:rPr>
                <w:rFonts w:ascii="Times New Roman;Times;Serif" w:hAnsi="Times New Roman;Times;Serif"/>
                <w:b w:val="false"/>
                <w:i w:val="false"/>
                <w:caps w:val="false"/>
                <w:smallCaps w:val="false"/>
                <w:sz w:val="20"/>
              </w:rPr>
              <w:t xml:space="preserve">), preferred shares, warrants to purchase Class A Ordinary Shares, debt securities, subscription rights and a combination of such securities, separately or as units, in one or more offerings (all the Class A Ordinary Shares for selling and offering in the Offering, the </w:t>
            </w:r>
            <w:r>
              <w:rPr>
                <w:rFonts w:ascii="Times New Roman;Times;Serif" w:hAnsi="Times New Roman;Times;Serif"/>
                <w:b/>
                <w:i w:val="false"/>
                <w:caps w:val="false"/>
                <w:smallCaps w:val="false"/>
                <w:sz w:val="20"/>
              </w:rPr>
              <w:t>Offer Shares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8.1 and 23.2 to the Registration Statement.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REVIEW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and relied upon the Documents and the documents listed in Schedule 1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We have not examined any other documents, even if they are referred to in the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any other enquiries concerning the Company and in particular we have not investigated or verified any matter of fact or opinion (whether set out in any of the Documents or elsewhere) other than as expressly stated in this opinion.</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capitalized terms have the meanings assigned to them in Schedule 1.</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and should be construed in accordance with, the laws of the Cayman Islands at the date of this opinion. We express no opinion on the laws of any other jurisdiction.</w:t>
      </w:r>
    </w:p>
    <w:p>
      <w:pPr>
        <w:pStyle w:val="TextBody"/>
        <w:bidi w:val="0"/>
        <w:spacing w:before="0" w:after="0"/>
        <w:ind w:left="25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stated in it and does not extend, and is not to be extended by implication, to any other matters.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AND RESERVATIONS</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give the following opinions on the basis of the assumptions set out in Schedule 2 (</w:t>
      </w:r>
      <w:r>
        <w:rPr>
          <w:rFonts w:ascii="Times New Roman;Times;Serif" w:hAnsi="Times New Roman;Times;Serif"/>
          <w:b/>
          <w:i w:val="false"/>
          <w:caps w:val="false"/>
          <w:smallCaps w:val="false"/>
          <w:sz w:val="20"/>
        </w:rPr>
        <w:t>Assumptions</w:t>
      </w:r>
      <w:r>
        <w:rPr>
          <w:rFonts w:ascii="Times New Roman;Times;Serif" w:hAnsi="Times New Roman;Times;Serif"/>
          <w:b w:val="false"/>
          <w:i w:val="false"/>
          <w:caps w:val="false"/>
          <w:smallCaps w:val="false"/>
          <w:sz w:val="20"/>
        </w:rPr>
        <w:t>), which we have not verified, and subject to the reservations set out in Schedule 3 (</w:t>
      </w:r>
      <w:r>
        <w:rPr>
          <w:rFonts w:ascii="Times New Roman;Times;Serif" w:hAnsi="Times New Roman;Times;Serif"/>
          <w:b/>
          <w:i w:val="false"/>
          <w:caps w:val="false"/>
          <w:smallCaps w:val="false"/>
          <w:sz w:val="20"/>
        </w:rPr>
        <w:t>Reservations</w:t>
      </w:r>
      <w:r>
        <w:rPr>
          <w:rFonts w:ascii="Times New Roman;Times;Serif" w:hAnsi="Times New Roman;Times;Serif"/>
          <w:b w:val="false"/>
          <w:i w:val="false"/>
          <w:caps w:val="false"/>
          <w:smallCaps w:val="false"/>
          <w:sz w:val="20"/>
        </w:rPr>
        <w:t>).</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p>
      <w:pPr>
        <w:pStyle w:val="TextBody"/>
        <w:bidi w:val="0"/>
        <w:spacing w:before="0" w:after="0"/>
        <w:ind w:left="25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Authorized Share Capital</w:t>
            </w:r>
            <w:r>
              <w:rPr>
                <w:rFonts w:ascii="Times New Roman;Times;Serif" w:hAnsi="Times New Roman;Times;Serif"/>
                <w:b w:val="false"/>
                <w:i w:val="false"/>
                <w:caps w:val="false"/>
                <w:smallCaps w:val="false"/>
                <w:sz w:val="20"/>
              </w:rPr>
              <w:t>: Base solely on our review of the Constitutional Documents, the authorized share capital of the Company is US$50,000 divided into 500,000,000 shares of a par value of US$0.0001 each, comprising of (i) 250,000,000 class A ordinary shares of a par value of US$0.0001 each and (ii) 250,000,000 class B ordinary shares of a par value of US$0.0001 each.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Authorization</w:t>
            </w:r>
            <w:r>
              <w:rPr>
                <w:rFonts w:ascii="Times New Roman;Times;Serif" w:hAnsi="Times New Roman;Times;Serif"/>
                <w:b w:val="false"/>
                <w:i w:val="false"/>
                <w:caps w:val="false"/>
                <w:smallCaps w:val="false"/>
                <w:sz w:val="20"/>
              </w:rPr>
              <w:t>: The Company has taken all necessary corporate action to authorize the issuance of the Offer Shares under the Registration Statement.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Issue of Shares</w:t>
            </w:r>
            <w:r>
              <w:rPr>
                <w:rFonts w:ascii="Times New Roman;Times;Serif" w:hAnsi="Times New Roman;Times;Serif"/>
                <w:b w:val="false"/>
                <w:i w:val="false"/>
                <w:caps w:val="false"/>
                <w:smallCaps w:val="false"/>
                <w:sz w:val="20"/>
              </w:rPr>
              <w:t xml:space="preserve">: The Offer Shares to be allotted and issued by the Company have been duly authorized, and when fully paid, allotted and issued by the Company in the manner set out in the Registration Statement and in accordance with the Resolutions, will be validly issued, fully paid and non-assessable. The reference in this opinion to shares being </w:t>
            </w:r>
            <w:r>
              <w:rPr>
                <w:rFonts w:ascii="Times New Roman;Times;Serif" w:hAnsi="Times New Roman;Times;Serif"/>
                <w:b w:val="false"/>
                <w:i/>
                <w:caps w:val="false"/>
                <w:smallCaps w:val="false"/>
                <w:sz w:val="20"/>
              </w:rPr>
              <w:t>non-assessable</w:t>
            </w:r>
            <w:r>
              <w:rPr>
                <w:rFonts w:ascii="Times New Roman;Times;Serif" w:hAnsi="Times New Roman;Times;Serif"/>
                <w:b w:val="false"/>
                <w:i w:val="false"/>
                <w:caps w:val="false"/>
                <w:smallCaps w:val="false"/>
                <w:sz w:val="20"/>
              </w:rPr>
              <w:t xml:space="preserve"> shall mean solely that no further sums of money are required to be paid by the holders of such shares in connection with the issuance thereof.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4"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Disclosure in offering documents</w:t>
            </w:r>
            <w:r>
              <w:rPr>
                <w:rFonts w:ascii="Times New Roman;Times;Serif" w:hAnsi="Times New Roman;Times;Serif"/>
                <w:b w:val="false"/>
                <w:i w:val="false"/>
                <w:caps w:val="false"/>
                <w:smallCaps w:val="false"/>
                <w:sz w:val="20"/>
              </w:rPr>
              <w:t>: The statements under the headings “Risk Factors”, “Enforceability of Civil Liabilities”, “Taxation” and “Description of Share Capital” in the prospectus forming part of the Registration Statement, insofar as such statements constitute statements of Cayman Islands law and only to the extent governed by the laws of the Cayman Islands, are accurate in all material respects.</w:t>
            </w:r>
          </w:p>
        </w:tc>
      </w:tr>
    </w:tbl>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headings “Enforceability of Civil Liabilities” and “Legal Matters” in the prospectus included in the Registration Statement. In providing our consent, we do not thereby admit that we are in the category of persons whose consent is required under Section 7 of the Securities Act or the Rules and Regulations of the Commission thereunder.</w:t>
      </w:r>
    </w:p>
    <w:p>
      <w:pPr>
        <w:pStyle w:val="TextBody"/>
        <w:bidi w:val="0"/>
        <w:spacing w:before="0" w:after="0"/>
        <w:ind w:left="2520" w:right="0" w:hanging="0"/>
        <w:jc w:val="both"/>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1325"/>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Appleby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Appleby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scanned copy of the certificate of incorporation of the Company dated 7 August 2023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Scanned copies of the amended and restated memorandum of association and articles of association of the Company adopted by a special resolution passed on 20 March 2025 and effective immediately prior to the completion of the initial public offering of the Company’s Class A Ordinary Shares (the </w:t>
            </w:r>
            <w:r>
              <w:rPr>
                <w:rFonts w:ascii="Times New Roman;Times;Serif" w:hAnsi="Times New Roman;Times;Serif"/>
                <w:b/>
                <w:i w:val="false"/>
                <w:caps w:val="false"/>
                <w:smallCaps w:val="false"/>
                <w:sz w:val="20"/>
              </w:rPr>
              <w:t>Constitutional Documents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scanned copy of the written resolutions signed by all of the directors of the Company dated 6 July 2026 (the </w:t>
            </w:r>
            <w:r>
              <w:rPr>
                <w:rFonts w:ascii="Times New Roman;Times;Serif" w:hAnsi="Times New Roman;Times;Serif"/>
                <w:b/>
                <w:i w:val="false"/>
                <w:caps w:val="false"/>
                <w:smallCaps w:val="false"/>
                <w:sz w:val="20"/>
              </w:rPr>
              <w:t>Resolutions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scanned copy of the register of directors and officers of the Company provided on 24 July 2026 (</w:t>
            </w:r>
            <w:r>
              <w:rPr>
                <w:rFonts w:ascii="Times New Roman;Times;Serif" w:hAnsi="Times New Roman;Times;Serif"/>
                <w:b/>
                <w:i w:val="false"/>
                <w:caps w:val="false"/>
                <w:smallCaps w:val="false"/>
                <w:sz w:val="20"/>
              </w:rPr>
              <w:t>Register of Directors and Officers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latest draft Registration Statement provided on 21 July 2026.</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originals of all documents examined in connection with this opinion are authentic, accurate and complete; and (ii) the authenticity, accuracy, completeness and conformity to original documents of all documents submitted to us as copies;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there has been no change to the information contained in the Certificate of Incorporation or the Register of Directors and Officers and that the Constitutional Documents remain in full force and effect and are unamended;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signatures, initials and seals on all documents and certificates submitted to us as originals or copies of executed originals are authentic;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where incomplete documents, drafts or signature pages only have been supplied to us for the purposes of issuing this opinion, the original documents have been duly completed and correspond in all material respects with the last version of the relevant documents examined by us prior to giving our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Document does not differ in any material respects from any draft of the same which we have examined and upon which this opinion is based;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none of the Company’s directors or its registered office has received any notice of any litigation or threatened litigation to which the Company is or may be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Company has not (i) received notice of any stop notice under Order 50 of the Grand Court Rules in respect of any of its shares or (ii) received notice of any restrictions notice under the Beneficial Ownership Transparency Act (as amended) of the Cayman Islands in respect of any of its shares, which restrictions notice has not been withdrawn by the registered office or ceased by court order;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(i) any meetings at which the Resolutions were passed were duly convened and had a duly constituted quorum present and voting throughout and any Resolutions passed in writing were adopted in accordance with the law and the Constitutional Documents, (ii) all interests of the directors of the Company on the subject matter of the Resolutions, if any, were declared and disclosed in accordance with the law and Constitutional Documents, (iii) the Resolutions have not been revoked, amended or superseded, in whole or in part, and remain in full force and effect at the date of this opinion, and (iv) the directors of the Company have concluded that the transactions approved by the Resolutions are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in the best interests of the Company and for a proper purpose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Register of Directors and Officers accurately reflects the names of all directors and officers of the Company as at the dates the Resolutions were passed or adopted and as at the date of this opinion;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there are no records of the Company, agreements, documents or arrangements other than the Constitutional Documents, the Resolutions and the documents expressly referred to herein as having been examined by us which materially affect, amend or vary the transactions contemplated in the Documents or restrict the powers and authority of the directors of the Company in any way which would affect opinions expressed herein.</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subject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Preferences</w:t>
            </w:r>
            <w:r>
              <w:rPr>
                <w:rFonts w:ascii="Times New Roman;Times;Serif" w:hAnsi="Times New Roman;Times;Serif"/>
                <w:b w:val="false"/>
                <w:i w:val="false"/>
                <w:caps w:val="false"/>
                <w:smallCaps w:val="false"/>
                <w:sz w:val="20"/>
              </w:rPr>
              <w:t>: Every conveyance or transfer of property, or charge thereon, and every payment obligation and judicial proceeding, made, incurred, taken or suffered by a company at a time when that company was unable to pay its debts within the meaning of section 93 of the Companies Act (as amended) of the Cayman Islands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and made or granted in favour of a creditor with a view to giving that creditor a preference over the other creditors of the company, would be voidable upon the application of the company’s liquidator pursuant to section 145(1) of the Companies Act, if made, incurred, taken or suffered within the six months preceding the commencement of a liquidation of the company. Such actions will be deemed to have been made with a view to giving such creditor a preference if it is a “related party” of the company. A creditor shall be treated as a related party if it has the ability to control a company or exercise significant influence over a company in making financial and operating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Undervalues</w:t>
            </w:r>
            <w:r>
              <w:rPr>
                <w:rFonts w:ascii="Times New Roman;Times;Serif" w:hAnsi="Times New Roman;Times;Serif"/>
                <w:b w:val="false"/>
                <w:i w:val="false"/>
                <w:caps w:val="false"/>
                <w:smallCaps w:val="false"/>
                <w:sz w:val="20"/>
              </w:rPr>
              <w:t>: Any disposition of property made at an undervalue by or on behalf of a company and with an intent to defraud its creditors (which means an intention to wilfully defeat an obligation owed to a creditor), shall be voidable (i) under section 146 of the Companies Act at the instance of the company’s official liquidator, and (ii) under the Fraudulent Dispositions Act (as amended) of the Cayman Islands, at the instance of a creditor thereby prejudiced.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Defrauding Creditors</w:t>
            </w:r>
            <w:r>
              <w:rPr>
                <w:rFonts w:ascii="Times New Roman;Times;Serif" w:hAnsi="Times New Roman;Times;Serif"/>
                <w:b w:val="false"/>
                <w:i w:val="false"/>
                <w:caps w:val="false"/>
                <w:smallCaps w:val="false"/>
                <w:sz w:val="20"/>
              </w:rPr>
              <w:t>: If any business of a company has been carried on with intent to defraud creditors of the company or creditors of any other person or for any fraudulent purpose, the Cayman Islands court may declare that any persons who were knowingly parties to the carrying on of the business of the company in such manner are liable to make such contributions, if any, to the company’s assets as the court thinks proper.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Corporate Documents</w:t>
            </w:r>
            <w:r>
              <w:rPr>
                <w:rFonts w:ascii="Times New Roman;Times;Serif" w:hAnsi="Times New Roman;Times;Serif"/>
                <w:b w:val="false"/>
                <w:i w:val="false"/>
                <w:caps w:val="false"/>
                <w:smallCaps w:val="false"/>
                <w:sz w:val="20"/>
              </w:rPr>
              <w:t>: The Registry of Companies in the Cayman Islands is not public in the sense that copies of the Constitutional Documents and information on shareholders is not publicly available and information on directors is limited. We have therefore obtained scanned copies of the corporate documents specified in Schedule 1 and relied exclusively on such scanned copies for the verification of such corporate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Issue of Shares:</w:t>
            </w:r>
            <w:r>
              <w:rPr>
                <w:rFonts w:ascii="Times New Roman;Times;Serif" w:hAnsi="Times New Roman;Times;Serif"/>
                <w:b w:val="false"/>
                <w:i w:val="false"/>
                <w:caps w:val="false"/>
                <w:smallCaps w:val="false"/>
                <w:sz w:val="20"/>
              </w:rPr>
              <w:t xml:space="preserve"> Based on the decision in the English case of </w:t>
            </w:r>
            <w:r>
              <w:rPr>
                <w:rFonts w:ascii="Times New Roman;Times;Serif" w:hAnsi="Times New Roman;Times;Serif"/>
                <w:b w:val="false"/>
                <w:i/>
                <w:caps w:val="false"/>
                <w:smallCaps w:val="false"/>
                <w:sz w:val="20"/>
              </w:rPr>
              <w:t>Houldsworth v City of Glasgow Bank</w:t>
            </w:r>
            <w:r>
              <w:rPr>
                <w:rFonts w:ascii="Times New Roman;Times;Serif" w:hAnsi="Times New Roman;Times;Serif"/>
                <w:b w:val="false"/>
                <w:i w:val="false"/>
                <w:caps w:val="false"/>
                <w:smallCaps w:val="false"/>
                <w:sz w:val="20"/>
              </w:rPr>
              <w:t xml:space="preserve"> (1880) 5 App Cas 317 HL, in the event of a misrepresentation by a Company on which a shareholder relied in agreeing to subscribe for shares in such Company, the shareholder may be entitled to rescind the share subscription agreement and thereafter claim damages against such Company for any additional loss suffered as a result of the misrepresentation. Such a claim for damages will not arise unless and until the shareholder has successfully rescinded the share subscription agreement. A shareholder may be barred from rescinding on the grounds of delay or affirmation and if such Company is wound up (whether voluntarily or compulsorily), such shareholder will lose the right to rescind the share subscription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bookmarkStart w:id="25" w:name="ex5-2.htm"/>
      <w:bookmarkStart w:id="26" w:name="ksex52"/>
      <w:bookmarkEnd w:id="25"/>
      <w:bookmarkEnd w:id="2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560320" cy="5759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2560320" cy="575945"/>
                    </a:xfrm>
                    <a:prstGeom prst="rect">
                      <a:avLst/>
                    </a:prstGeom>
                  </pic:spPr>
                </pic:pic>
              </a:graphicData>
            </a:graphic>
          </wp:inline>
        </w:drawing>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Opinion</w:t>
      </w:r>
    </w:p>
    <w:p>
      <w:pPr>
        <w:pStyle w:val="TextBody"/>
        <w:bidi w:val="0"/>
        <w:spacing w:before="0" w:after="0"/>
        <w:jc w:val="center"/>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470"/>
        <w:gridCol w:w="60"/>
        <w:gridCol w:w="365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Palm Grove Unit 4, 265 Smith Road</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Town, P.O. Box 52A Edgewater Way</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 Grand Cayman KY1-9006</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Sirs or Madams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lawyers qualified in the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China</w:t>
      </w:r>
      <w:r>
        <w:rPr>
          <w:rFonts w:ascii="Times New Roman;Times;Serif" w:hAnsi="Times New Roman;Times;Serif"/>
          <w:b w:val="false"/>
          <w:i w:val="false"/>
          <w:caps w:val="false"/>
          <w:smallCaps w:val="false"/>
          <w:sz w:val="20"/>
        </w:rPr>
        <w:t>”, for the purpose of this opinion, excluding the Hong Kong Special Administrative Region, the Macao Special Administrative Region and Taiwan) and as such are qualified to issue this opinion on the laws and regulations of the PRC effective as of the date 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the PRC legal counsel to Julong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company incorporated under the laws of the Cayman Islands, in connection with the registration statement on Form F-3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United States Securities and Exchange Commission under the U.S. Securities Act of 1933 (as amended), in relation to the proposed offering up to US$200,000,000 or its equivalent in any other currency, currency units, or composite currency or currencies, of the Company’s Class A ordinary shares, par value US$0.0001 per share, preferred shares, warrants to purchase Class A ordinary shares, debt securities, subscription rights and a combination of such securities, separately or as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Documents and Assumptions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rendering this opinion, we have examined copies of the Registration Statement and other documents (collectively the “</w:t>
            </w:r>
            <w:r>
              <w:rPr>
                <w:rFonts w:ascii="Times New Roman;Times;Serif" w:hAnsi="Times New Roman;Times;Serif"/>
                <w:b/>
                <w:sz w:val="20"/>
              </w:rPr>
              <w:t>Documents</w:t>
            </w:r>
            <w:r>
              <w:rPr>
                <w:rFonts w:ascii="Times New Roman;Times;Serif" w:hAnsi="Times New Roman;Times;Serif"/>
                <w:sz w:val="20"/>
              </w:rPr>
              <w:t>”) as we have considered necessary or advisable for the purpose of rendering this opinion. Where certain facts were not independently established and verified by us, we have relied upon appropriate representatives of the Company and the PRC Entities (as defined below).</w:t>
            </w:r>
          </w:p>
        </w:tc>
      </w:tr>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both"/>
              <w:rPr/>
            </w:pPr>
            <w:r>
              <w:rPr/>
              <w:t> </w:t>
            </w:r>
          </w:p>
        </w:tc>
        <w:tc>
          <w:tcPr>
            <w:tcW w:w="1000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rendering this opinion, we have made the following assumptions (the “</w:t>
            </w:r>
            <w:r>
              <w:rPr>
                <w:rFonts w:ascii="Times New Roman;Times;Serif" w:hAnsi="Times New Roman;Times;Serif"/>
                <w:b/>
                <w:sz w:val="20"/>
              </w:rPr>
              <w:t>Assumptions</w:t>
            </w:r>
            <w:r>
              <w:rPr>
                <w:rFonts w:ascii="Times New Roman;Times;Serif" w:hAnsi="Times New Roman;Times;Serif"/>
                <w:sz w:val="20"/>
              </w:rPr>
              <w:t>”):</w:t>
            </w:r>
          </w:p>
        </w:tc>
      </w:tr>
    </w:tbl>
    <w:p>
      <w:pPr>
        <w:pStyle w:val="TextBody"/>
        <w:bidi w:val="0"/>
        <w:spacing w:before="0" w:after="0"/>
        <w:ind w:left="664" w:right="0" w:hanging="2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seals and chops are genuine, each signature on behalf of a party thereto is that of a person duly authorized by such party to execute the same, all Documents submitted to us as originals are authentic, and all Documents submitted to us as certified or photostatic copies conform to the originals;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to the Documents, (a) if a legal person or other entity, is duly organized and is validly existing in good standing under the laws of its jurisdiction of organization and/or incorporation, or (b) if an individual, has full capacity for civil conduct, and has full power and authority to execute, deliver and perform its, her or his obligations under the Documents to which it, she or he is a party, and, if a legal person or other entity, in accordance with the laws of its jurisdiction of organization and/or the laws that it, she or he is subject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presented to us remain in full force and effect on the date of this opinion and have not been revoked, amended or supplemented, and no amendments, revisions, supplements, modifications or other changes have been made, and no revocation or termination has occurred, with respect to any of the Documents after they were submitted to us for the purposes of this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jurisdictions other than the PRC which may be applicable to the execution, delivery, performance or enforcement of the Documents are complied with;</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drawing>
          <wp:inline distT="0" distB="0" distL="0" distR="0">
            <wp:extent cx="2560320" cy="5759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2560320" cy="575945"/>
                    </a:xfrm>
                    <a:prstGeom prst="rect">
                      <a:avLst/>
                    </a:prstGeom>
                  </pic:spPr>
                </pic:pic>
              </a:graphicData>
            </a:graphic>
          </wp:inline>
        </w:drawing>
      </w:r>
    </w:p>
    <w:p>
      <w:pPr>
        <w:pStyle w:val="TextBody"/>
        <w:bidi w:val="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requested Documents have been provided to us and all factual statements made to us by the Company and the PRC Entities in connection with this opinion are true, correct and complete;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explanations and interpretations provided by government officials duly reflect the official position of the relevant Governmental Agencies and are complete, true and correct;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Documents is legal, valid, binding and enforceable in accordance with their respective governing laws in any and all respects;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Governmental Authorizations (as defined below) and other official statements and documentation obtained by the Company or any PRC Entity from any Governmental Agency have been obtained by lawful means in due course, and the Documents provided to us conform with those documents submitted to Governmental Agencies for such 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assumed and have not verified the truthfulness, accuracy and completeness as to the factual matters of each Document we have reviewed.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Definitions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defined in the context of this opinion, the following capitalized terms used in this opinion shall have the meanings ascribed to them as follows:</w:t>
      </w:r>
    </w:p>
    <w:p>
      <w:pPr>
        <w:pStyle w:val="TextBody"/>
        <w:bidi w:val="0"/>
        <w:spacing w:before="0" w:after="0"/>
        <w:ind w:left="42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54" w:type="dxa"/>
            <w:tcBorders/>
            <w:vAlign w:val="center"/>
          </w:tcPr>
          <w:p>
            <w:pPr>
              <w:pStyle w:val="TableContents"/>
              <w:bidi w:val="0"/>
              <w:spacing w:before="0" w:after="283"/>
              <w:jc w:val="both"/>
              <w:rPr/>
            </w:pPr>
            <w:r>
              <w:rPr/>
              <w:t>“</w:t>
            </w:r>
            <w:r>
              <w:rPr>
                <w:rFonts w:ascii="Times New Roman;Times;Serif" w:hAnsi="Times New Roman;Times;Serif"/>
                <w:i/>
                <w:sz w:val="20"/>
              </w:rPr>
              <w:t>Governmental Agency”</w:t>
            </w:r>
            <w:r>
              <w:rPr>
                <w:rFonts w:ascii="Times New Roman;Times;Serif" w:hAnsi="Times New Roman;Times;Serif"/>
                <w:sz w:val="20"/>
              </w:rPr>
              <w:t xml:space="preserve"> means any national, provincial or local governmental, regulatory or administrative authority, agency or commission in the PRC, or any court, tribunal or any other judicial body or arbitral body in the PRC, or any body exercising, or entitled to exercise, any administrative, judicial, legislative, law enforcement, regulatory, or taxing authority or power of a similar nature in the PRC (collectively, the “</w:t>
            </w:r>
            <w:r>
              <w:rPr>
                <w:rFonts w:ascii="Times New Roman;Times;Serif" w:hAnsi="Times New Roman;Times;Serif"/>
                <w:i/>
                <w:sz w:val="20"/>
              </w:rPr>
              <w:t>Governmental Agencies”</w:t>
            </w:r>
            <w:r>
              <w:rPr>
                <w:rFonts w:ascii="Times New Roman;Times;Serif" w:hAnsi="Times New Roman;Times;Serif"/>
                <w:sz w:val="20"/>
              </w:rPr>
              <w:t>);</w:t>
            </w:r>
          </w:p>
        </w:tc>
      </w:tr>
      <w:tr>
        <w:trPr/>
        <w:tc>
          <w:tcPr>
            <w:tcW w:w="151" w:type="dxa"/>
            <w:tcBorders/>
            <w:vAlign w:val="center"/>
          </w:tcPr>
          <w:p>
            <w:pPr>
              <w:pStyle w:val="TableContents"/>
              <w:bidi w:val="0"/>
              <w:spacing w:before="0" w:after="283"/>
              <w:jc w:val="both"/>
              <w:rPr/>
            </w:pPr>
            <w:r>
              <w:rPr/>
              <w:t> </w:t>
            </w:r>
          </w:p>
        </w:tc>
        <w:tc>
          <w:tcPr>
            <w:tcW w:w="10054" w:type="dxa"/>
            <w:tcBorders/>
            <w:vAlign w:val="center"/>
          </w:tcPr>
          <w:p>
            <w:pPr>
              <w:pStyle w:val="TableContents"/>
              <w:bidi w:val="0"/>
              <w:spacing w:before="0" w:after="283"/>
              <w:jc w:val="both"/>
              <w:rPr/>
            </w:pPr>
            <w:r>
              <w:rPr/>
              <w:t> </w:t>
            </w:r>
          </w:p>
        </w:tc>
      </w:tr>
      <w:tr>
        <w:trPr/>
        <w:tc>
          <w:tcPr>
            <w:tcW w:w="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54" w:type="dxa"/>
            <w:tcBorders/>
            <w:vAlign w:val="center"/>
          </w:tcPr>
          <w:p>
            <w:pPr>
              <w:pStyle w:val="TableContents"/>
              <w:bidi w:val="0"/>
              <w:spacing w:before="0" w:after="283"/>
              <w:jc w:val="both"/>
              <w:rPr/>
            </w:pPr>
            <w:r>
              <w:rPr/>
              <w:t>“</w:t>
            </w:r>
            <w:r>
              <w:rPr>
                <w:rFonts w:ascii="Times New Roman;Times;Serif" w:hAnsi="Times New Roman;Times;Serif"/>
                <w:i/>
                <w:sz w:val="20"/>
              </w:rPr>
              <w:t xml:space="preserve">Governmental Authorizations” </w:t>
            </w:r>
            <w:r>
              <w:rPr>
                <w:rFonts w:ascii="Times New Roman;Times;Serif" w:hAnsi="Times New Roman;Times;Serif"/>
                <w:sz w:val="20"/>
              </w:rPr>
              <w:t>means any license, approval, consent, waiver, certificate, authorization, filing, declaration, disclosure, registration, exemption, permission, endorsement, annual inspection, clearance, qualification, permit or license by, from or with any Governmental Agency pursuant to any PRC Laws;</w:t>
            </w:r>
          </w:p>
        </w:tc>
      </w:tr>
      <w:tr>
        <w:trPr/>
        <w:tc>
          <w:tcPr>
            <w:tcW w:w="151" w:type="dxa"/>
            <w:tcBorders/>
            <w:vAlign w:val="center"/>
          </w:tcPr>
          <w:p>
            <w:pPr>
              <w:pStyle w:val="TableContents"/>
              <w:bidi w:val="0"/>
              <w:spacing w:before="0" w:after="283"/>
              <w:jc w:val="both"/>
              <w:rPr/>
            </w:pPr>
            <w:r>
              <w:rPr/>
              <w:t> </w:t>
            </w:r>
          </w:p>
        </w:tc>
        <w:tc>
          <w:tcPr>
            <w:tcW w:w="10054" w:type="dxa"/>
            <w:tcBorders/>
            <w:vAlign w:val="center"/>
          </w:tcPr>
          <w:p>
            <w:pPr>
              <w:pStyle w:val="TableContents"/>
              <w:bidi w:val="0"/>
              <w:spacing w:before="0" w:after="283"/>
              <w:jc w:val="both"/>
              <w:rPr/>
            </w:pPr>
            <w:r>
              <w:rPr/>
              <w:t> </w:t>
            </w:r>
          </w:p>
        </w:tc>
      </w:tr>
      <w:tr>
        <w:trPr/>
        <w:tc>
          <w:tcPr>
            <w:tcW w:w="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both"/>
              <w:rPr/>
            </w:pPr>
            <w:r>
              <w:rPr/>
              <w:t>“</w:t>
            </w:r>
            <w:r>
              <w:rPr>
                <w:rFonts w:ascii="Times New Roman;Times;Serif" w:hAnsi="Times New Roman;Times;Serif"/>
                <w:i/>
                <w:sz w:val="20"/>
              </w:rPr>
              <w:t>PRC Entities”</w:t>
            </w:r>
            <w:r>
              <w:rPr>
                <w:rFonts w:ascii="Times New Roman;Times;Serif" w:hAnsi="Times New Roman;Times;Serif"/>
                <w:sz w:val="20"/>
              </w:rPr>
              <w:t xml:space="preserve"> means, collectively, all entities listed in Appendix A hereof, and each, a “</w:t>
            </w:r>
            <w:r>
              <w:rPr>
                <w:rFonts w:ascii="Times New Roman;Times;Serif" w:hAnsi="Times New Roman;Times;Serif"/>
                <w:i/>
                <w:sz w:val="20"/>
              </w:rPr>
              <w:t>PRC Entity</w:t>
            </w:r>
            <w:r>
              <w:rPr>
                <w:rFonts w:ascii="Times New Roman;Times;Serif" w:hAnsi="Times New Roman;Times;Serif"/>
                <w:sz w:val="20"/>
              </w:rPr>
              <w:t>”;</w:t>
            </w:r>
          </w:p>
        </w:tc>
      </w:tr>
      <w:tr>
        <w:trPr/>
        <w:tc>
          <w:tcPr>
            <w:tcW w:w="151" w:type="dxa"/>
            <w:tcBorders/>
            <w:vAlign w:val="center"/>
          </w:tcPr>
          <w:p>
            <w:pPr>
              <w:pStyle w:val="TableContents"/>
              <w:bidi w:val="0"/>
              <w:spacing w:before="0" w:after="283"/>
              <w:jc w:val="both"/>
              <w:rPr/>
            </w:pPr>
            <w:r>
              <w:rPr/>
              <w:t> </w:t>
            </w:r>
          </w:p>
        </w:tc>
        <w:tc>
          <w:tcPr>
            <w:tcW w:w="10054" w:type="dxa"/>
            <w:tcBorders/>
            <w:vAlign w:val="center"/>
          </w:tcPr>
          <w:p>
            <w:pPr>
              <w:pStyle w:val="TableContents"/>
              <w:bidi w:val="0"/>
              <w:spacing w:before="0" w:after="283"/>
              <w:jc w:val="both"/>
              <w:rPr/>
            </w:pPr>
            <w:r>
              <w:rPr/>
              <w:t> </w:t>
            </w:r>
          </w:p>
        </w:tc>
      </w:tr>
      <w:tr>
        <w:trPr/>
        <w:tc>
          <w:tcPr>
            <w:tcW w:w="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54" w:type="dxa"/>
            <w:tcBorders/>
            <w:vAlign w:val="center"/>
          </w:tcPr>
          <w:p>
            <w:pPr>
              <w:pStyle w:val="TableContents"/>
              <w:bidi w:val="0"/>
              <w:spacing w:before="0" w:after="283"/>
              <w:jc w:val="both"/>
              <w:rPr/>
            </w:pPr>
            <w:r>
              <w:rPr/>
              <w:t>“</w:t>
            </w:r>
            <w:r>
              <w:rPr>
                <w:rFonts w:ascii="Times New Roman;Times;Serif" w:hAnsi="Times New Roman;Times;Serif"/>
                <w:i/>
                <w:sz w:val="20"/>
              </w:rPr>
              <w:t xml:space="preserve">PRC Laws” </w:t>
            </w:r>
            <w:r>
              <w:rPr>
                <w:rFonts w:ascii="Times New Roman;Times;Serif" w:hAnsi="Times New Roman;Times;Serif"/>
                <w:sz w:val="20"/>
              </w:rPr>
              <w:t>means all applicable national, provincial and local laws, statutes, regulations, orders, decrees, notices, circulars, judicial interpretations and other legislations of the PRC effective and available to the public as of the date 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Opinions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review of the Documents and subject to the disclosures contained in the Registration Statement, the Assumptions and the Qualifications set out below, we are of the opinion that, as of the date hereof:</w:t>
      </w:r>
    </w:p>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185"/>
        <w:gridCol w:w="81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in the Registration Statement under the caption “Taxation” with respect to the PRC tax laws and regulations, constitute true and accurate descriptions of the matters described therein in all material respects.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Our opinion expressed above is subject to the following qualifications (the “Qualifications”)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PRC laws of general application on the date hereof. For the purpose of this opinion only, the PRC or China shall not include the Hong Kong Special Administrative Region, the Macau Special Administrative Region or Taiwan. We have made no investigation of, and do not express or imply any views on, the laws of any jurisdiction other than the PRC, and we have assumed that such other laws or regulations would affect our opinions expressed above.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drawing>
          <wp:inline distT="0" distB="0" distL="0" distR="0">
            <wp:extent cx="2560320" cy="5759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1"/>
                    <a:stretch>
                      <a:fillRect/>
                    </a:stretch>
                  </pic:blipFill>
                  <pic:spPr bwMode="auto">
                    <a:xfrm>
                      <a:off x="0" y="0"/>
                      <a:ext cx="2560320" cy="575945"/>
                    </a:xfrm>
                    <a:prstGeom prst="rect">
                      <a:avLst/>
                    </a:prstGeom>
                  </pic:spPr>
                </pic:pic>
              </a:graphicData>
            </a:graphic>
          </wp:inline>
        </w:drawing>
      </w: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laws and regulations referred to herein are laws and regulations publicly available and currently in force on the date hereof and there is no guarantee that any of such laws and regulations, or the interpretation or enforcement thereof, will not be changed, amended or revoked in the future with or without retrospective effect.</w:t>
            </w:r>
          </w:p>
        </w:tc>
      </w:tr>
      <w:tr>
        <w:trPr/>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subject to (i) applicable bankruptcy, insolvency, fraudulent transfer, reorganization, moratorium or similar laws in the PRC affecting creditors’ rights generally, and (ii) possible judicial or administrative actions or any PRC Laws affecting creditors’ rights.</w:t>
            </w:r>
          </w:p>
        </w:tc>
      </w:tr>
      <w:tr>
        <w:trPr/>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subject to the effects of (i) certain legal or statutory principles affecting the validity and enforceability of contractual rights generally under the concepts of public interest, social ethics, national security, good faith, fair dealing, and applicable statutes of limitation, (ii) any circumstance in connection with the formulation, execution or performance of any legal documents that would be deemed materially mistaken, clearly unconscionable, fraudulent, coercionary or concealing illegal intentions with a lawful form, (iii) judicial discretion with respect to the availability of specific performance, injunctive relief, remedies or defenses, or calculation of damages, and (iv) the discretion of any competent PRC legislative, administrative or judicial bodies in exercising their authority in the PRC.</w:t>
            </w:r>
          </w:p>
        </w:tc>
      </w:tr>
      <w:tr>
        <w:trPr/>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issued based on our understanding of the current PRC Laws. For matters not explicitly provided under the current PRC Laws, the interpretation, implementation and application of the specific requirements under PRC Laws, as well as their application to and effect on the legality, binding effect and enforceability of certain contracts, are subject to the final discretion of competent PRC legislative, administrative and judicial authorities, and there can be no assurance that the Government Agencies will not take a view that is contrary to or otherwise different from our opinion stated herein.</w:t>
            </w:r>
          </w:p>
        </w:tc>
      </w:tr>
      <w:tr>
        <w:trPr/>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“enforceable” or “enforceability” as used in this opinion means that the obligations assumed by the relevant obligors under the relevant Documents are of a type which the courts of the PRC may enforce. It dose not mean that those obligations will necessarily be enforced in all circumstances in accordance with their respective terms and/or additional terms that may be imposed by the courts. As used in this opinion, the expression “to our knowledge” or similar language with reference to matters of fact refers to the current, actual knowledge of the attorneys of this firm who have worked on matters for the Company and the PRC Entities in connection with this opinion. We may rely, as to matters of fact (but not as to legal conclusions), to the extent we deem proper, on certificates, statements and confirmations made by the responsible officers of the Company, the PRC Entities and/or the Governmental Agencies.</w:t>
            </w:r>
          </w:p>
        </w:tc>
      </w:tr>
      <w:tr>
        <w:trPr/>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undertaken any independent investigation, search or other verification action to determine the existence or absence of any fact or to prepare this opinion, and no inference as to our knowledge of the existence or absence of any fact should be drawn from our representation of the Company or the PRC Entities or the rendering of this opinion.</w:t>
            </w:r>
          </w:p>
        </w:tc>
      </w:tr>
      <w:tr>
        <w:trPr/>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intended to be used in the context which is specifically referred to herein; each paragraph shall be construed as a whole and no part shall be extracted and referred to independently.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solely for the benefit of the Company and without our prior written consent, neither our opinions nor this opinion may be disclosed to or relied upon by any other person. We hereby consent to the use of this opinion in, and the filing hereof as an exhibit to the Registration Statement, and to the reference to our name in such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strictly limited to the matters stated herein and no opinion is implied or may be inferred beyond the matters expressly stated herein. The opinion expressed herein is rendered only as of the date hereof, and we assume no responsibility to advise you of facts, circumstances, events or developments that hereafter may be brought to our attention and that may alter, affect or modify the opinion expressed herein.</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560320" cy="5759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2"/>
                    <a:stretch>
                      <a:fillRect/>
                    </a:stretch>
                  </pic:blipFill>
                  <pic:spPr bwMode="auto">
                    <a:xfrm>
                      <a:off x="0" y="0"/>
                      <a:ext cx="2560320" cy="575945"/>
                    </a:xfrm>
                    <a:prstGeom prst="rect">
                      <a:avLst/>
                    </a:prstGeom>
                  </pic:spPr>
                </pic:pic>
              </a:graphicData>
            </a:graphic>
          </wp:inline>
        </w:drawing>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left"/>
        <w:rPr>
          <w:caps w:val="false"/>
          <w:smallCaps w:val="false"/>
        </w:rPr>
      </w:pPr>
      <w:r>
        <w:rPr>
          <w:caps w:val="false"/>
          <w:smallCaps w:val="false"/>
        </w:rPr>
        <w:t> </w:t>
      </w:r>
    </w:p>
    <w:tbl>
      <w:tblPr>
        <w:tblW w:w="3140" w:type="dxa"/>
        <w:jc w:val="left"/>
        <w:tblInd w:w="0" w:type="dxa"/>
        <w:tblLayout w:type="fixed"/>
        <w:tblCellMar>
          <w:top w:w="0" w:type="dxa"/>
          <w:left w:w="0" w:type="dxa"/>
          <w:bottom w:w="28" w:type="dxa"/>
          <w:right w:w="0" w:type="dxa"/>
        </w:tblCellMar>
      </w:tblPr>
      <w:tblGrid>
        <w:gridCol w:w="3080"/>
        <w:gridCol w:w="60"/>
      </w:tblGrid>
      <w:tr>
        <w:trPr/>
        <w:tc>
          <w:tcPr>
            <w:tcW w:w="308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/s/</w:t>
            </w:r>
            <w:r>
              <w:rPr>
                <w:rFonts w:ascii="Times New Roman;Times;Serif" w:hAnsi="Times New Roman;Times;Serif"/>
                <w:sz w:val="20"/>
              </w:rPr>
              <w:t xml:space="preserve"> Beijing Dacheng Law Offices, LLP</w:t>
            </w:r>
          </w:p>
        </w:tc>
        <w:tc>
          <w:tcPr>
            <w:tcW w:w="60" w:type="dxa"/>
            <w:tcBorders/>
            <w:tcMar>
              <w:bottom w:w="0" w:type="dxa"/>
            </w:tcMar>
            <w:vAlign w:val="center"/>
          </w:tcPr>
          <w:p>
            <w:pPr>
              <w:pStyle w:val="TableContents"/>
              <w:bidi w:val="0"/>
              <w:spacing w:before="0" w:after="283"/>
              <w:jc w:val="left"/>
              <w:rPr/>
            </w:pPr>
            <w:r>
              <w:rPr/>
              <w:t> </w:t>
            </w:r>
          </w:p>
        </w:tc>
      </w:tr>
      <w:tr>
        <w:trPr/>
        <w:tc>
          <w:tcPr>
            <w:tcW w:w="30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Dacheng Law Offices, LLP</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560320" cy="5759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2560320" cy="575945"/>
                    </a:xfrm>
                    <a:prstGeom prst="rect">
                      <a:avLst/>
                    </a:prstGeom>
                  </pic:spPr>
                </pic:pic>
              </a:graphicData>
            </a:graphic>
          </wp:inline>
        </w:drawing>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the PRC Entities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rFonts w:ascii="Times New Roman;Times;Serif" w:hAnsi="Times New Roman;Times;Serif"/>
          <w:b w:val="false"/>
          <w:i w:val="false"/>
          <w:caps w:val="false"/>
          <w:smallCaps w:val="false"/>
          <w:sz w:val="20"/>
        </w:rPr>
        <w:t>1. Julong Online (Beijing) Technology Development Co., Ltd. (“</w:t>
      </w:r>
      <w:r>
        <w:rPr>
          <w:rFonts w:eastAsia="Times New Roman;Times;Serif"/>
          <w:b w:val="false"/>
          <w:i w:val="false"/>
          <w:caps w:val="false"/>
          <w:smallCaps w:val="false"/>
          <w:sz w:val="20"/>
        </w:rPr>
        <w:t xml:space="preserve">巨龙在线（北京）科技发展有限公司” </w:t>
      </w:r>
      <w:r>
        <w:rPr>
          <w:rFonts w:ascii="Times New Roman;Times;Serif" w:hAnsi="Times New Roman;Times;Serif"/>
          <w:b w:val="false"/>
          <w:i w:val="false"/>
          <w:caps w:val="false"/>
          <w:smallCaps w:val="false"/>
          <w:sz w:val="20"/>
        </w:rPr>
        <w:t>in Chinese)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rFonts w:ascii="Times New Roman;Times;Serif" w:hAnsi="Times New Roman;Times;Serif"/>
          <w:b w:val="false"/>
          <w:i w:val="false"/>
          <w:caps w:val="false"/>
          <w:smallCaps w:val="false"/>
          <w:sz w:val="20"/>
        </w:rPr>
        <w:t>2. Beijing Junxinyuan Technology Development Co., Ltd. (“</w:t>
      </w:r>
      <w:r>
        <w:rPr>
          <w:rFonts w:eastAsia="Times New Roman;Times;Serif"/>
          <w:b w:val="false"/>
          <w:i w:val="false"/>
          <w:caps w:val="false"/>
          <w:smallCaps w:val="false"/>
          <w:sz w:val="20"/>
        </w:rPr>
        <w:t xml:space="preserve">北京君信源科技发展有限公司” </w:t>
      </w:r>
      <w:r>
        <w:rPr>
          <w:rFonts w:ascii="Times New Roman;Times;Serif" w:hAnsi="Times New Roman;Times;Serif"/>
          <w:b w:val="false"/>
          <w:i w:val="false"/>
          <w:caps w:val="false"/>
          <w:smallCaps w:val="false"/>
          <w:sz w:val="20"/>
        </w:rPr>
        <w:t>in Chinese)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caps w:val="false"/>
          <w:smallCaps w:val="false"/>
        </w:rPr>
      </w:pPr>
      <w:bookmarkStart w:id="27" w:name="ex23-1.htm"/>
      <w:bookmarkStart w:id="28" w:name="ksex231"/>
      <w:bookmarkEnd w:id="27"/>
      <w:bookmarkEnd w:id="28"/>
      <w:r>
        <w:rPr>
          <w:caps w:val="false"/>
          <w:smallCaps w:val="false"/>
        </w:rPr>
        <w:t> </w:t>
      </w:r>
      <w:r>
        <w:br w:type="page"/>
      </w:r>
    </w:p>
    <w:p>
      <w:pPr>
        <w:pStyle w:val="TextBody"/>
        <w:shd w:fill="FFFFFF" w:val="clear"/>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shd w:fill="FFFFFF" w:val="clear"/>
        <w:bidi w:val="0"/>
        <w:spacing w:before="0" w:after="0"/>
        <w:jc w:val="right"/>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1800"/>
        <w:gridCol w:w="4040"/>
      </w:tblGrid>
      <w:tr>
        <w:trPr/>
        <w:tc>
          <w:tcPr>
            <w:tcW w:w="180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143000" cy="676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4"/>
                          <a:stretch>
                            <a:fillRect/>
                          </a:stretch>
                        </pic:blipFill>
                        <pic:spPr bwMode="auto">
                          <a:xfrm>
                            <a:off x="0" y="0"/>
                            <a:ext cx="1143000" cy="676275"/>
                          </a:xfrm>
                          <a:prstGeom prst="rect">
                            <a:avLst/>
                          </a:prstGeom>
                        </pic:spPr>
                      </pic:pic>
                    </a:graphicData>
                  </a:graphic>
                </wp:inline>
              </w:drawing>
            </w:r>
          </w:p>
        </w:tc>
        <w:tc>
          <w:tcPr>
            <w:tcW w:w="40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12361 Lewis St Ste 202 Garden Grove, CA 92840</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(714)-820-3316 Fax (714)-333-4992</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Registration Statement on Form F-3 of Julong Holding Limited. (the “Company”) of our report dated February 13, 2026, with respect to the consolidated balance sheet of Julong Holding Limited. as of September 30, 2025 and 2024, and the related statements of operations, changes in stockholders’ equity, and cash flows for the years then ended, and the related notes thereto. We also consent to the reference to our firm under the heading “Experts” in such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Fortune CPA,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Garden Grove, California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9" w:name="ex23-3.htm"/>
      <w:bookmarkStart w:id="30" w:name="ksex233"/>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2381250" cy="542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5"/>
                    <a:stretch>
                      <a:fillRect/>
                    </a:stretch>
                  </pic:blipFill>
                  <pic:spPr bwMode="auto">
                    <a:xfrm>
                      <a:off x="0" y="0"/>
                      <a:ext cx="2381250" cy="542925"/>
                    </a:xfrm>
                    <a:prstGeom prst="rect">
                      <a:avLst/>
                    </a:prstGeom>
                  </pic:spPr>
                </pic:pic>
              </a:graphicData>
            </a:graphic>
          </wp:inline>
        </w:drawing>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Letter</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470"/>
        <w:gridCol w:w="60"/>
        <w:gridCol w:w="365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2026</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Palm Grove Unit 4, 265 Smith Road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Town, P.O. Box 52A Edgewater Way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 Grand Cayman KY1-9006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Sirs or Madams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lawyers qualified in the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China</w:t>
      </w:r>
      <w:r>
        <w:rPr>
          <w:rFonts w:ascii="Times New Roman;Times;Serif" w:hAnsi="Times New Roman;Times;Serif"/>
          <w:b w:val="false"/>
          <w:i w:val="false"/>
          <w:caps w:val="false"/>
          <w:smallCaps w:val="false"/>
          <w:sz w:val="20"/>
        </w:rPr>
        <w:t>”, for the purpose of this consent letter (the “</w:t>
      </w:r>
      <w:r>
        <w:rPr>
          <w:rFonts w:ascii="Times New Roman;Times;Serif" w:hAnsi="Times New Roman;Times;Serif"/>
          <w:b/>
          <w:i w:val="false"/>
          <w:caps w:val="false"/>
          <w:smallCaps w:val="false"/>
          <w:sz w:val="20"/>
        </w:rPr>
        <w:t>Letter</w:t>
      </w:r>
      <w:r>
        <w:rPr>
          <w:rFonts w:ascii="Times New Roman;Times;Serif" w:hAnsi="Times New Roman;Times;Serif"/>
          <w:b w:val="false"/>
          <w:i w:val="false"/>
          <w:caps w:val="false"/>
          <w:smallCaps w:val="false"/>
          <w:sz w:val="20"/>
        </w:rPr>
        <w:t>”), excluding the Hong Kong Special Administrative Region, the Macao Special Administrative Region and Taiwan) and are acting as PRC legal counsel to the Company in connection with the registration statement on Form F-3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United States Securities and Exchange Commission under the U.S. Securities Act of 1933 (as amended), in relation to the proposed offering up to US$200,000,000 or its equivalent in any other currency, currency units, or composite currency or currencies, of the Company’s Class A ordinary shares, par value US$0.0001 per share, preferred shares, warrants to purchase Class A ordinary shares, debt securities, subscription rights and a combination of such securities, separately or as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in the Registration Statement. We also consent to the filing with the SEC of this Letter as an exhibit to the Registration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Securities Act of 1933, in each case, as amended, or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tbl>
      <w:tblPr>
        <w:tblW w:w="3755" w:type="dxa"/>
        <w:jc w:val="left"/>
        <w:tblInd w:w="0" w:type="dxa"/>
        <w:tblLayout w:type="fixed"/>
        <w:tblCellMar>
          <w:top w:w="0" w:type="dxa"/>
          <w:left w:w="0" w:type="dxa"/>
          <w:bottom w:w="28" w:type="dxa"/>
          <w:right w:w="0" w:type="dxa"/>
        </w:tblCellMar>
      </w:tblPr>
      <w:tblGrid>
        <w:gridCol w:w="3695"/>
        <w:gridCol w:w="60"/>
      </w:tblGrid>
      <w:tr>
        <w:trPr/>
        <w:tc>
          <w:tcPr>
            <w:tcW w:w="3695" w:type="dxa"/>
            <w:tcBorders>
              <w:bottom w:val="single" w:sz="8" w:space="0" w:color="000000"/>
            </w:tcBorders>
            <w:vAlign w:val="center"/>
          </w:tcPr>
          <w:p>
            <w:pPr>
              <w:pStyle w:val="TableContents"/>
              <w:bidi w:val="0"/>
              <w:spacing w:before="0" w:after="283"/>
              <w:jc w:val="both"/>
              <w:rPr/>
            </w:pPr>
            <w:r>
              <w:rPr/>
              <w:t>/s/ Beijing Dacheng Law Offices, LLP</w:t>
            </w:r>
          </w:p>
        </w:tc>
        <w:tc>
          <w:tcPr>
            <w:tcW w:w="60" w:type="dxa"/>
            <w:tcBorders/>
            <w:tcMar>
              <w:bottom w:w="0" w:type="dxa"/>
            </w:tcMar>
            <w:vAlign w:val="center"/>
          </w:tcPr>
          <w:p>
            <w:pPr>
              <w:pStyle w:val="TableContents"/>
              <w:bidi w:val="0"/>
              <w:spacing w:before="0" w:after="283"/>
              <w:jc w:val="both"/>
              <w:rPr/>
            </w:pPr>
            <w:r>
              <w:rPr/>
              <w:t> </w:t>
            </w:r>
          </w:p>
        </w:tc>
      </w:tr>
      <w:tr>
        <w:trPr/>
        <w:tc>
          <w:tcPr>
            <w:tcW w:w="369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Beijing Dacheng Law Offices, LLP</w:t>
            </w:r>
          </w:p>
        </w:tc>
        <w:tc>
          <w:tcPr>
            <w:tcW w:w="6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ex107.htm"/>
      <w:bookmarkStart w:id="32" w:name="ksex107"/>
      <w:bookmarkStart w:id="33" w:name="ex107.htm"/>
      <w:bookmarkStart w:id="34" w:name="ksex107"/>
      <w:bookmarkEnd w:id="33"/>
      <w:bookmarkEnd w:id="34"/>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Julong Holding Ltd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99" w:type="dxa"/>
        <w:jc w:val="left"/>
        <w:tblInd w:w="0" w:type="dxa"/>
        <w:tblLayout w:type="fixed"/>
        <w:tblCellMar>
          <w:top w:w="28" w:type="dxa"/>
          <w:left w:w="28" w:type="dxa"/>
          <w:bottom w:w="28" w:type="dxa"/>
          <w:right w:w="28" w:type="dxa"/>
        </w:tblCellMar>
      </w:tblPr>
      <w:tblGrid>
        <w:gridCol w:w="1126"/>
        <w:gridCol w:w="226"/>
        <w:gridCol w:w="1246"/>
        <w:gridCol w:w="103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3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9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36" w:type="dxa"/>
            <w:tcBorders/>
            <w:shd w:fill="E7E7E2" w:val="clear"/>
            <w:vAlign w:val="center"/>
          </w:tcPr>
          <w:p>
            <w:pPr>
              <w:pStyle w:val="TableContents"/>
              <w:bidi w:val="0"/>
              <w:spacing w:before="0" w:after="283"/>
              <w:jc w:val="left"/>
              <w:rPr/>
            </w:pPr>
            <w:r>
              <w:rPr/>
              <w:t xml:space="preserve">Class A Ordinary shares, par value US$0.0001 per share; preferred shares; warrants; debt securities; subscription rights; 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3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$ 27,620.00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3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9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3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$ 200,000,000.00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$ 27,620.00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9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$ 27,620.00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There are being registered under this Registration Statement such indeterminate number of Class A ordinary shares, preferred shares, warrants, debt securities, subscription rights and units of the Registrant, and a combination of such securities, as may be sold by the registrant from time to time, which collectively shall have an aggregate initial offering price not to exceed US$200,000,000. The securities registered hereunder also include such indeterminate number of each class of identified securities as may be issued upon conversion, exercise or exchange of any other securities that provide for such conversion into, exercise for or exchange into such securities. Separate consideration may or may not be received for securities that are issuable on exercise, conversion or exchange of other securities. The proposed maximum offering price per unit will be determined from time to time by the Registrant in connection with the sale of the securities under this Registration Statement. Estimated solely for the purpose of calculating the amount of the registration fee pursuant to Rule 457(o) under the Securities Act of 1933, as amended.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7846/000149315226006699/form20-f.htm" TargetMode="External"/><Relationship Id="rId3" Type="http://schemas.openxmlformats.org/officeDocument/2006/relationships/hyperlink" Target="https://www.sec.gov/Archives/edgar/data/2007846/000149315226028812/form6-k.htm" TargetMode="External"/><Relationship Id="rId4" Type="http://schemas.openxmlformats.org/officeDocument/2006/relationships/hyperlink" Target="https://www.sec.gov/Archives/edgar/data/2007846/000164117225013560/form8a-12b.htm" TargetMode="External"/><Relationship Id="rId5" Type="http://schemas.openxmlformats.org/officeDocument/2006/relationships/image" Target="media/image1.jpeg"/><Relationship Id="rId6" Type="http://schemas.openxmlformats.org/officeDocument/2006/relationships/hyperlink" Target="https://www.sec.gov/Archives/edgar/data/2007846/000164117225005624/ex3-2.htm" TargetMode="External"/><Relationship Id="rId7" Type="http://schemas.openxmlformats.org/officeDocument/2006/relationships/hyperlink" Target="https://www.sec.gov/Archives/edgar/data/2007846/000164117225005624/ex4-1.htm"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29598</Words>
  <Characters>155885</Characters>
  <CharactersWithSpaces>185681</CharactersWithSpaces>
  <Paragraphs>2319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