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51001__20"/>
      <w:bookmarkEnd w:id="2"/>
      <w:r>
        <w:rPr>
          <w:rFonts w:ascii="Times New Roman;Times;Serif" w:hAnsi="Times New Roman;Times;Serif"/>
          <w:b/>
          <w:i w:val="false"/>
          <w:caps w:val="false"/>
          <w:smallCaps w:val="false"/>
          <w:sz w:val="36"/>
        </w:rPr>
        <w:t>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3" w:name="xdx_908_edei--EntityFileNumber_c20251001"/>
      <w:bookmarkEnd w:id="3"/>
      <w:r>
        <w:rPr>
          <w:rFonts w:ascii="Times New Roman;Times;Serif" w:hAnsi="Times New Roman;Times;Serif"/>
          <w:b w:val="false"/>
          <w:i w:val="false"/>
          <w:caps w:val="false"/>
          <w:smallCaps w:val="false"/>
          <w:sz w:val="20"/>
        </w:rPr>
        <w:t>001-42683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5"/>
      <w:bookmarkEnd w:id="4"/>
      <w:r>
        <w:rPr>
          <w:rFonts w:ascii="Times New Roman;Times;Serif" w:hAnsi="Times New Roman;Times;Serif"/>
          <w:b/>
          <w:i w:val="false"/>
          <w:caps w:val="false"/>
          <w:smallCaps w:val="false"/>
          <w:sz w:val="36"/>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F_edei--EntityAddressAddressLine1_"/>
      <w:bookmarkEnd w:id="5"/>
      <w:r>
        <w:rPr>
          <w:rFonts w:ascii="Times New Roman;Times;Serif" w:hAnsi="Times New Roman;Times;Serif"/>
          <w:b/>
          <w:i w:val="false"/>
          <w:caps w:val="false"/>
          <w:smallCaps w:val="false"/>
          <w:sz w:val="20"/>
        </w:rPr>
        <w:t xml:space="preserve">Room 2009, Building A, </w:t>
      </w:r>
      <w:bookmarkStart w:id="6" w:name="xdx_905_edei--EntityAddressAddressLine2_"/>
      <w:bookmarkEnd w:id="6"/>
      <w:r>
        <w:rPr>
          <w:rFonts w:ascii="Times New Roman;Times;Serif" w:hAnsi="Times New Roman;Times;Serif"/>
          <w:b/>
          <w:i w:val="false"/>
          <w:caps w:val="false"/>
          <w:smallCaps w:val="false"/>
          <w:sz w:val="20"/>
        </w:rPr>
        <w:t>Times Fortune World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6_edei--EntityAddressAddressLine3_"/>
      <w:bookmarkEnd w:id="7"/>
      <w:r>
        <w:rPr>
          <w:rFonts w:ascii="Times New Roman;Times;Serif" w:hAnsi="Times New Roman;Times;Serif"/>
          <w:b/>
          <w:i w:val="false"/>
          <w:caps w:val="false"/>
          <w:smallCaps w:val="false"/>
          <w:sz w:val="20"/>
        </w:rPr>
        <w:t>No.1 Hangfeng Road, Fengtai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CityOrTown_c2"/>
      <w:bookmarkEnd w:id="8"/>
      <w:r>
        <w:rPr>
          <w:rFonts w:ascii="Times New Roman;Times;Serif" w:hAnsi="Times New Roman;Times;Serif"/>
          <w:b/>
          <w:i w:val="false"/>
          <w:caps w:val="false"/>
          <w:smallCaps w:val="false"/>
          <w:sz w:val="20"/>
        </w:rPr>
        <w:t xml:space="preserve">Beijing, </w:t>
      </w:r>
      <w:bookmarkStart w:id="9" w:name="xdx_905_edei--EntityAddressCountry_c2025"/>
      <w:bookmarkEnd w:id="9"/>
      <w:r>
        <w:rPr>
          <w:rFonts w:ascii="Times New Roman;Times;Serif" w:hAnsi="Times New Roman;Times;Serif"/>
          <w:b/>
          <w:i w:val="false"/>
          <w:caps w:val="false"/>
          <w:smallCaps w:val="false"/>
          <w:sz w:val="20"/>
        </w:rPr>
        <w:t xml:space="preserve">China </w:t>
      </w:r>
      <w:bookmarkStart w:id="10" w:name="xdx_907_edei--EntityAddressPostalZipCode"/>
      <w:bookmarkEnd w:id="10"/>
      <w:r>
        <w:rPr>
          <w:rFonts w:ascii="Times New Roman;Times;Serif" w:hAnsi="Times New Roman;Times;Serif"/>
          <w:b/>
          <w:i w:val="false"/>
          <w:caps w:val="false"/>
          <w:smallCaps w:val="false"/>
          <w:sz w:val="20"/>
        </w:rPr>
        <w:t>100070</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current report on Form 6-K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is hereby incorporated by reference in the registration statement of 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333-297664) to the extent not superseded by documents or reports subsequently filed or furnished.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a Cayman Islands exempted company (the “Company”) is furnishing this Form 6-K to provide results for the six months ended March 31, 2026 in connection with the unaudited interim condensed consolidated financial statements for the six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8"/>
        <w:gridCol w:w="60"/>
        <w:gridCol w:w="9267"/>
      </w:tblGrid>
      <w:tr>
        <w:trPr/>
        <w:tc>
          <w:tcPr>
            <w:tcW w:w="87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Unaudited Condensed Consolidated Financial Statements as of March 31, 2025 and March 31, 2026 and for the Six Months Ended March 31, 2025 and March 31, 2026</w:t>
              </w:r>
            </w:hyperlink>
          </w:p>
        </w:tc>
      </w:tr>
      <w:tr>
        <w:trPr/>
        <w:tc>
          <w:tcPr>
            <w:tcW w:w="8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Management’s Discussion and Analysis of Financial Condition and Results of Operation for the Six Months Ended March 31, 2026</w:t>
              </w:r>
            </w:hyperlink>
          </w:p>
        </w:tc>
      </w:tr>
      <w:tr>
        <w:trPr/>
        <w:tc>
          <w:tcPr>
            <w:tcW w:w="8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CCEEFF" w:val="clear"/>
            <w:tcMar>
              <w:bottom w:w="0" w:type="dxa"/>
            </w:tcMar>
            <w:vAlign w:val="center"/>
          </w:tcPr>
          <w:p>
            <w:pPr>
              <w:pStyle w:val="TableContents"/>
              <w:bidi w:val="0"/>
              <w:spacing w:before="0" w:after="283"/>
              <w:jc w:val="both"/>
              <w:rPr/>
            </w:pPr>
            <w:hyperlink w:anchor="ex99-3.htm">
              <w:r>
                <w:rPr>
                  <w:rStyle w:val="InternetLink"/>
                  <w:rFonts w:ascii="Times New Roman;Times;Serif" w:hAnsi="Times New Roman;Times;Serif"/>
                  <w:b w:val="false"/>
                  <w:i w:val="false"/>
                  <w:caps w:val="false"/>
                  <w:smallCaps w:val="false"/>
                  <w:sz w:val="20"/>
                </w:rPr>
                <w:t>Earning Release, dated as of August 18, 2026</w:t>
              </w:r>
            </w:hyperlink>
          </w:p>
        </w:tc>
      </w:tr>
      <w:tr>
        <w:trPr/>
        <w:tc>
          <w:tcPr>
            <w:tcW w:w="8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SCH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DEF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LAB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7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7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67"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18,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11" w:name="ex99-1.htm"/>
      <w:bookmarkStart w:id="12" w:name="ksex991"/>
      <w:bookmarkEnd w:id="11"/>
      <w:bookmarkEnd w:id="1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 AND MARCH 31, 2026</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 w:name="xdx_30A_111_zer4qN6Ene3i"/>
      <w:bookmarkStart w:id="14" w:name="xdx_30A_111_zer4qN6Ene3i"/>
      <w:bookmarkEnd w:id="14"/>
    </w:p>
    <w:tbl>
      <w:tblPr>
        <w:tblW w:w="10205" w:type="dxa"/>
        <w:jc w:val="left"/>
        <w:tblInd w:w="0" w:type="dxa"/>
        <w:tblLayout w:type="fixed"/>
        <w:tblCellMar>
          <w:top w:w="0" w:type="dxa"/>
          <w:left w:w="0" w:type="dxa"/>
          <w:bottom w:w="0" w:type="dxa"/>
          <w:right w:w="0" w:type="dxa"/>
        </w:tblCellMar>
      </w:tblPr>
      <w:tblGrid>
        <w:gridCol w:w="5640"/>
        <w:gridCol w:w="60"/>
        <w:gridCol w:w="67"/>
        <w:gridCol w:w="1384"/>
        <w:gridCol w:w="95"/>
        <w:gridCol w:w="60"/>
        <w:gridCol w:w="63"/>
        <w:gridCol w:w="1299"/>
        <w:gridCol w:w="95"/>
        <w:gridCol w:w="60"/>
        <w:gridCol w:w="65"/>
        <w:gridCol w:w="1203"/>
        <w:gridCol w:w="114"/>
      </w:tblGrid>
      <w:tr>
        <w:trPr/>
        <w:tc>
          <w:tcPr>
            <w:tcW w:w="5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5" w:name="xdx_49F_20250930_zoGdPSPjF1dg"/>
            <w:bookmarkEnd w:id="15"/>
          </w:p>
        </w:tc>
        <w:tc>
          <w:tcPr>
            <w:tcW w:w="145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 September 30,</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 w:name="xdx_49C_20260331_zON5zLxj3pRk"/>
            <w:bookmarkEnd w:id="16"/>
          </w:p>
        </w:tc>
        <w:tc>
          <w:tcPr>
            <w:tcW w:w="1362"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 March 31,</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 March 31,</w:t>
            </w:r>
          </w:p>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114" w:type="dxa"/>
            <w:tcBorders/>
            <w:vAlign w:val="center"/>
          </w:tcPr>
          <w:p>
            <w:pPr>
              <w:pStyle w:val="TableContents"/>
              <w:bidi w:val="0"/>
              <w:spacing w:before="0" w:after="283"/>
              <w:jc w:val="left"/>
              <w:rPr/>
            </w:pPr>
            <w:r>
              <w:rPr/>
              <w:t> </w:t>
            </w:r>
            <w:bookmarkStart w:id="17" w:name="xdx_408_eus-gaap--AssetsAbstract_iB_zM95"/>
            <w:bookmarkEnd w:id="17"/>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8" w:name="xdx_40B_eus-gaap--AssetsCurrentAbstract_"/>
            <w:bookmarkEnd w:id="18"/>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9" w:name="xdx_409_eus-gaap--CashAndCashEquivalents"/>
            <w:bookmarkEnd w:id="19"/>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62,247,145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43,216,643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20" w:name="xdx_98B_eus-gaap--CashAndCashEquivalents"/>
            <w:bookmarkEnd w:id="20"/>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6,265,098</w:t>
            </w:r>
          </w:p>
        </w:tc>
        <w:tc>
          <w:tcPr>
            <w:tcW w:w="114" w:type="dxa"/>
            <w:tcBorders/>
            <w:shd w:fill="CCEEFF" w:val="clear"/>
            <w:vAlign w:val="center"/>
          </w:tcPr>
          <w:p>
            <w:pPr>
              <w:pStyle w:val="TableContents"/>
              <w:bidi w:val="0"/>
              <w:spacing w:before="0" w:after="283"/>
              <w:jc w:val="left"/>
              <w:rPr/>
            </w:pPr>
            <w:r>
              <w:rPr/>
              <w:t> </w:t>
            </w:r>
            <w:bookmarkStart w:id="21" w:name="xdx_40F_eus-gaap--RestrictedCashCurrent_"/>
            <w:bookmarkEnd w:id="21"/>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22" w:name="xdx_984_eus-gaap--RestrictedCashCurrent_"/>
            <w:bookmarkEnd w:id="22"/>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114" w:type="dxa"/>
            <w:tcBorders/>
            <w:shd w:fill="FFFFFF" w:val="clear"/>
            <w:vAlign w:val="center"/>
          </w:tcPr>
          <w:p>
            <w:pPr>
              <w:pStyle w:val="TableContents"/>
              <w:bidi w:val="0"/>
              <w:spacing w:before="0" w:after="283"/>
              <w:jc w:val="left"/>
              <w:rPr/>
            </w:pPr>
            <w:r>
              <w:rPr/>
              <w:t> </w:t>
            </w:r>
            <w:bookmarkStart w:id="23" w:name="xdx_409_eus-gaap--AccountsReceivableNetC"/>
            <w:bookmarkEnd w:id="23"/>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of RMB</w:t>
            </w:r>
            <w:bookmarkStart w:id="24" w:name="xdx_902_eus-gaap--AllowanceForDoubtfulAc"/>
            <w:bookmarkEnd w:id="24"/>
            <w:r>
              <w:rPr>
                <w:rFonts w:ascii="Times New Roman;Times;Serif" w:hAnsi="Times New Roman;Times;Serif"/>
              </w:rPr>
              <w:t>91,886 and RMB</w:t>
            </w:r>
            <w:bookmarkStart w:id="25" w:name="xdx_902_eus-gaap--AllowanceForDoubtfulAc"/>
            <w:bookmarkEnd w:id="25"/>
            <w:r>
              <w:rPr>
                <w:rFonts w:ascii="Times New Roman;Times;Serif" w:hAnsi="Times New Roman;Times;Serif"/>
              </w:rPr>
              <w:t>56,070 as of September 30,2025 and March 31, 2026, respectively)</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14,723,857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8,130,297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26" w:name="xdx_985_eus-gaap--AccountsReceivableNetC"/>
            <w:bookmarkEnd w:id="26"/>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1,178,646</w:t>
            </w:r>
          </w:p>
        </w:tc>
        <w:tc>
          <w:tcPr>
            <w:tcW w:w="114" w:type="dxa"/>
            <w:tcBorders/>
            <w:shd w:fill="CCEEFF" w:val="clear"/>
            <w:vAlign w:val="center"/>
          </w:tcPr>
          <w:p>
            <w:pPr>
              <w:pStyle w:val="TableContents"/>
              <w:bidi w:val="0"/>
              <w:spacing w:before="0" w:after="283"/>
              <w:jc w:val="left"/>
              <w:rPr/>
            </w:pPr>
            <w:r>
              <w:rPr/>
              <w:t> </w:t>
            </w:r>
            <w:bookmarkStart w:id="27" w:name="xdx_40E_eus-gaap--UnbilledReceivablesCur"/>
            <w:bookmarkEnd w:id="27"/>
          </w:p>
        </w:tc>
      </w:tr>
      <w:tr>
        <w:trPr/>
        <w:tc>
          <w:tcPr>
            <w:tcW w:w="5640" w:type="dxa"/>
            <w:tcBorders/>
            <w:shd w:fill="FFFFFF" w:val="clear"/>
            <w:vAlign w:val="center"/>
          </w:tcPr>
          <w:p>
            <w:pPr>
              <w:pStyle w:val="TableContents"/>
              <w:bidi w:val="0"/>
              <w:spacing w:before="0" w:after="283"/>
              <w:jc w:val="left"/>
              <w:rPr/>
            </w:pPr>
            <w:r>
              <w:rPr/>
              <w:t>Unbilled receivables-current (net of allowance of RMB</w:t>
            </w:r>
            <w:bookmarkStart w:id="28" w:name="xdx_902_ecustom--AllowanceForDoubtfulAcc"/>
            <w:bookmarkEnd w:id="28"/>
            <w:r>
              <w:rPr/>
              <w:t>4,267,547 and RMB</w:t>
            </w:r>
            <w:bookmarkStart w:id="29" w:name="xdx_90E_ecustom--AllowanceForDoubtfulAcc"/>
            <w:bookmarkEnd w:id="29"/>
            <w:r>
              <w:rPr/>
              <w:t>5,457,002 as of September 30,2025 and March 31, 2026, respectively)</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242,066,085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303,893,778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0" w:name="xdx_986_eus-gaap--UnbilledReceivablesCur"/>
            <w:bookmarkEnd w:id="30"/>
            <w:r>
              <w:rPr>
                <w:rFonts w:ascii="Times New Roman;Times;Serif" w:hAnsi="Times New Roman;Times;Serif"/>
                <w:b w:val="false"/>
                <w:i w:val="false"/>
                <w:caps w:val="false"/>
                <w:smallCaps w:val="false"/>
                <w:sz w:val="20"/>
              </w:rPr>
              <w:t>44,055,346</w:t>
            </w:r>
          </w:p>
        </w:tc>
        <w:tc>
          <w:tcPr>
            <w:tcW w:w="114" w:type="dxa"/>
            <w:tcBorders/>
            <w:shd w:fill="FFFFFF" w:val="clear"/>
            <w:vAlign w:val="center"/>
          </w:tcPr>
          <w:p>
            <w:pPr>
              <w:pStyle w:val="TableContents"/>
              <w:bidi w:val="0"/>
              <w:spacing w:before="0" w:after="283"/>
              <w:jc w:val="left"/>
              <w:rPr/>
            </w:pPr>
            <w:r>
              <w:rPr/>
              <w:t> </w:t>
            </w:r>
            <w:bookmarkStart w:id="31" w:name="xdx_40B_eus-gaap--ContractWithCustomerAs"/>
            <w:bookmarkEnd w:id="31"/>
          </w:p>
        </w:tc>
      </w:tr>
      <w:tr>
        <w:trPr/>
        <w:tc>
          <w:tcPr>
            <w:tcW w:w="5640" w:type="dxa"/>
            <w:tcBorders/>
            <w:shd w:fill="CCEEFF" w:val="clear"/>
            <w:vAlign w:val="center"/>
          </w:tcPr>
          <w:p>
            <w:pPr>
              <w:pStyle w:val="TableContents"/>
              <w:bidi w:val="0"/>
              <w:spacing w:before="0" w:after="283"/>
              <w:jc w:val="left"/>
              <w:rPr/>
            </w:pPr>
            <w:r>
              <w:rPr/>
              <w:t xml:space="preserve">Contract assets- current (net of allowance of RMB </w:t>
            </w:r>
            <w:bookmarkStart w:id="32" w:name="xdx_907_eus-gaap--ContractWithCustomerAs"/>
            <w:bookmarkEnd w:id="32"/>
            <w:r>
              <w:rPr/>
              <w:t xml:space="preserve">nil and RMB </w:t>
            </w:r>
            <w:bookmarkStart w:id="33" w:name="xdx_90A_eus-gaap--ContractWithCustomerAs"/>
            <w:bookmarkEnd w:id="33"/>
            <w:r>
              <w:rPr/>
              <w:t>nil as of September 30, 2025 and March 31, 2026, respectively)</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2,466,827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1,498,137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34" w:name="xdx_989_eus-gaap--ContractWithCustomerAs"/>
            <w:bookmarkEnd w:id="34"/>
          </w:p>
        </w:tc>
        <w:tc>
          <w:tcPr>
            <w:tcW w:w="1203" w:type="dxa"/>
            <w:tcBorders/>
            <w:shd w:fill="CCEEFF" w:val="clear"/>
            <w:vAlign w:val="center"/>
          </w:tcPr>
          <w:p>
            <w:pPr>
              <w:pStyle w:val="TableContents"/>
              <w:bidi w:val="0"/>
              <w:spacing w:before="0" w:after="283"/>
              <w:jc w:val="right"/>
              <w:rPr/>
            </w:pPr>
            <w:r>
              <w:rPr/>
              <w:t>217,184</w:t>
            </w:r>
          </w:p>
        </w:tc>
        <w:tc>
          <w:tcPr>
            <w:tcW w:w="114" w:type="dxa"/>
            <w:tcBorders/>
            <w:shd w:fill="CCEEFF" w:val="clear"/>
            <w:vAlign w:val="center"/>
          </w:tcPr>
          <w:p>
            <w:pPr>
              <w:pStyle w:val="TableContents"/>
              <w:bidi w:val="0"/>
              <w:spacing w:before="0" w:after="283"/>
              <w:jc w:val="left"/>
              <w:rPr/>
            </w:pPr>
            <w:r>
              <w:rPr/>
              <w:t> </w:t>
            </w:r>
            <w:bookmarkStart w:id="35" w:name="xdx_401_eus-gaap--OtherReceivablesNetCur"/>
            <w:bookmarkEnd w:id="35"/>
          </w:p>
        </w:tc>
      </w:tr>
      <w:tr>
        <w:trPr/>
        <w:tc>
          <w:tcPr>
            <w:tcW w:w="5640" w:type="dxa"/>
            <w:tcBorders/>
            <w:shd w:fill="FFFFFF" w:val="clear"/>
            <w:vAlign w:val="center"/>
          </w:tcPr>
          <w:p>
            <w:pPr>
              <w:pStyle w:val="TableContents"/>
              <w:bidi w:val="0"/>
              <w:spacing w:before="0" w:after="283"/>
              <w:jc w:val="left"/>
              <w:rPr/>
            </w:pPr>
            <w:r>
              <w:rPr>
                <w:rFonts w:ascii="Times New Roman;Times;Serif" w:hAnsi="Times New Roman;Times;Serif"/>
              </w:rPr>
              <w:t>Other receivables (net of allowance of RMB</w:t>
            </w:r>
            <w:bookmarkStart w:id="36" w:name="xdx_90B_eus-gaap--AllowanceForDoubtfulOt"/>
            <w:bookmarkEnd w:id="36"/>
            <w:r>
              <w:rPr>
                <w:rFonts w:ascii="Times New Roman;Times;Serif" w:hAnsi="Times New Roman;Times;Serif"/>
              </w:rPr>
              <w:t>64,103</w:t>
            </w:r>
            <w:r>
              <w:rPr/>
              <w:t xml:space="preserve"> </w:t>
            </w:r>
            <w:r>
              <w:rPr>
                <w:rFonts w:ascii="Times New Roman;Times;Serif" w:hAnsi="Times New Roman;Times;Serif"/>
              </w:rPr>
              <w:t>and RMB</w:t>
            </w:r>
            <w:bookmarkStart w:id="37" w:name="xdx_903_eus-gaap--AllowanceForDoubtfulOt"/>
            <w:bookmarkEnd w:id="37"/>
            <w:r>
              <w:rPr>
                <w:rFonts w:ascii="Times New Roman;Times;Serif" w:hAnsi="Times New Roman;Times;Serif"/>
              </w:rPr>
              <w:t>164,106</w:t>
            </w:r>
            <w:r>
              <w:rPr/>
              <w:t xml:space="preserve"> </w:t>
            </w:r>
            <w:r>
              <w:rPr>
                <w:rFonts w:ascii="Times New Roman;Times;Serif" w:hAnsi="Times New Roman;Times;Serif"/>
              </w:rPr>
              <w:t>as of September 30, 2025 and March 31, 2026, respectively)</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24,234,001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38" w:name="xdx_989_eus-gaap--OtherReceivablesNetCur"/>
            <w:bookmarkEnd w:id="38"/>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3,513,192</w:t>
            </w:r>
          </w:p>
        </w:tc>
        <w:tc>
          <w:tcPr>
            <w:tcW w:w="114" w:type="dxa"/>
            <w:tcBorders/>
            <w:shd w:fill="FFFFFF" w:val="clear"/>
            <w:vAlign w:val="center"/>
          </w:tcPr>
          <w:p>
            <w:pPr>
              <w:pStyle w:val="TableContents"/>
              <w:bidi w:val="0"/>
              <w:spacing w:before="0" w:after="283"/>
              <w:jc w:val="left"/>
              <w:rPr/>
            </w:pPr>
            <w:r>
              <w:rPr/>
              <w:t> </w:t>
            </w:r>
            <w:bookmarkStart w:id="39" w:name="xdx_408_ecustom--AmountsDueFromRelatedPa"/>
            <w:bookmarkEnd w:id="39"/>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3,486,135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40" w:name="xdx_98E_ecustom--AmountsDueFromRelatedPa"/>
            <w:bookmarkEnd w:id="40"/>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160,327</w:t>
            </w:r>
          </w:p>
        </w:tc>
        <w:tc>
          <w:tcPr>
            <w:tcW w:w="114" w:type="dxa"/>
            <w:tcBorders/>
            <w:shd w:fill="CCEEFF" w:val="clear"/>
            <w:vAlign w:val="center"/>
          </w:tcPr>
          <w:p>
            <w:pPr>
              <w:pStyle w:val="TableContents"/>
              <w:bidi w:val="0"/>
              <w:spacing w:before="0" w:after="283"/>
              <w:jc w:val="left"/>
              <w:rPr/>
            </w:pPr>
            <w:r>
              <w:rPr/>
              <w:t> </w:t>
            </w:r>
            <w:bookmarkStart w:id="41" w:name="xdx_40C_eus-gaap--PrepaidExpenseAndOther"/>
            <w:bookmarkEnd w:id="41"/>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2" w:name="xdx_98D_eus-gaap--PrepaidExpenseAndOther"/>
            <w:bookmarkEnd w:id="42"/>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610,635</w:t>
            </w:r>
          </w:p>
        </w:tc>
        <w:tc>
          <w:tcPr>
            <w:tcW w:w="114" w:type="dxa"/>
            <w:tcBorders/>
            <w:shd w:fill="FFFFFF" w:val="clear"/>
            <w:vAlign w:val="center"/>
          </w:tcPr>
          <w:p>
            <w:pPr>
              <w:pStyle w:val="TableContents"/>
              <w:bidi w:val="0"/>
              <w:spacing w:before="0" w:after="283"/>
              <w:jc w:val="left"/>
              <w:rPr/>
            </w:pPr>
            <w:r>
              <w:rPr/>
              <w:t> </w:t>
            </w:r>
            <w:bookmarkStart w:id="43" w:name="xdx_40E_eus-gaap--AssetsCurrent_i02TI_mt"/>
            <w:bookmarkEnd w:id="43"/>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327,759,195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386,291,559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44" w:name="xdx_980_eus-gaap--AssetsCurrent_i02TI_uU"/>
            <w:bookmarkEnd w:id="44"/>
          </w:p>
        </w:tc>
        <w:tc>
          <w:tcPr>
            <w:tcW w:w="120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56,000,515</w:t>
            </w:r>
          </w:p>
        </w:tc>
        <w:tc>
          <w:tcPr>
            <w:tcW w:w="114" w:type="dxa"/>
            <w:tcBorders/>
            <w:shd w:fill="CCEEFF" w:val="clear"/>
            <w:vAlign w:val="center"/>
          </w:tcPr>
          <w:p>
            <w:pPr>
              <w:pStyle w:val="TableContents"/>
              <w:bidi w:val="0"/>
              <w:spacing w:before="0" w:after="283"/>
              <w:jc w:val="left"/>
              <w:rPr/>
            </w:pPr>
            <w:r>
              <w:rPr/>
              <w:t> </w:t>
            </w:r>
          </w:p>
        </w:tc>
      </w:tr>
      <w:tr>
        <w:trPr/>
        <w:tc>
          <w:tcPr>
            <w:tcW w:w="5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45" w:name="xdx_401_eus-gaap--AssetsNoncurrentAbstra"/>
            <w:bookmarkEnd w:id="45"/>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46" w:name="xdx_405_eus-gaap--PropertyPlantAndEquipm"/>
            <w:bookmarkEnd w:id="46"/>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47" w:name="xdx_98A_eus-gaap--PropertyPlantAndEquipm"/>
            <w:bookmarkEnd w:id="47"/>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23,399</w:t>
            </w:r>
          </w:p>
        </w:tc>
        <w:tc>
          <w:tcPr>
            <w:tcW w:w="114" w:type="dxa"/>
            <w:tcBorders/>
            <w:shd w:fill="FFFFFF" w:val="clear"/>
            <w:vAlign w:val="center"/>
          </w:tcPr>
          <w:p>
            <w:pPr>
              <w:pStyle w:val="TableContents"/>
              <w:bidi w:val="0"/>
              <w:spacing w:before="0" w:after="283"/>
              <w:jc w:val="left"/>
              <w:rPr/>
            </w:pPr>
            <w:r>
              <w:rPr/>
              <w:t> </w:t>
            </w:r>
            <w:bookmarkStart w:id="48" w:name="xdx_404_eus-gaap--DeferredIncomeTaxAsset"/>
            <w:bookmarkEnd w:id="48"/>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1,044,349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49" w:name="xdx_98E_eus-gaap--DeferredIncomeTaxAsset"/>
            <w:bookmarkEnd w:id="49"/>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179,847</w:t>
            </w:r>
          </w:p>
        </w:tc>
        <w:tc>
          <w:tcPr>
            <w:tcW w:w="114" w:type="dxa"/>
            <w:tcBorders/>
            <w:shd w:fill="CCEEFF" w:val="clear"/>
            <w:vAlign w:val="center"/>
          </w:tcPr>
          <w:p>
            <w:pPr>
              <w:pStyle w:val="TableContents"/>
              <w:bidi w:val="0"/>
              <w:spacing w:before="0" w:after="283"/>
              <w:jc w:val="left"/>
              <w:rPr/>
            </w:pPr>
            <w:r>
              <w:rPr/>
              <w:t> </w:t>
            </w:r>
            <w:bookmarkStart w:id="50" w:name="xdx_40A_eus-gaap--OperatingLeaseRightOfU"/>
            <w:bookmarkEnd w:id="50"/>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51" w:name="xdx_98A_eus-gaap--OperatingLeaseRightOfU"/>
            <w:bookmarkEnd w:id="51"/>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33,266</w:t>
            </w:r>
          </w:p>
        </w:tc>
        <w:tc>
          <w:tcPr>
            <w:tcW w:w="114" w:type="dxa"/>
            <w:tcBorders/>
            <w:shd w:fill="FFFFFF" w:val="clear"/>
            <w:vAlign w:val="center"/>
          </w:tcPr>
          <w:p>
            <w:pPr>
              <w:pStyle w:val="TableContents"/>
              <w:bidi w:val="0"/>
              <w:spacing w:before="0" w:after="283"/>
              <w:jc w:val="left"/>
              <w:rPr/>
            </w:pPr>
            <w:r>
              <w:rPr/>
              <w:t> </w:t>
            </w:r>
            <w:bookmarkStart w:id="52" w:name="xdx_403_eus-gaap--ContractWithCustomerAs"/>
            <w:bookmarkEnd w:id="52"/>
          </w:p>
        </w:tc>
      </w:tr>
      <w:tr>
        <w:trPr/>
        <w:tc>
          <w:tcPr>
            <w:tcW w:w="5640" w:type="dxa"/>
            <w:tcBorders/>
            <w:shd w:fill="CCEEFF" w:val="clear"/>
            <w:vAlign w:val="center"/>
          </w:tcPr>
          <w:p>
            <w:pPr>
              <w:pStyle w:val="TableContents"/>
              <w:bidi w:val="0"/>
              <w:spacing w:before="0" w:after="283"/>
              <w:jc w:val="left"/>
              <w:rPr/>
            </w:pPr>
            <w:r>
              <w:rPr>
                <w:rFonts w:ascii="Times New Roman;Times;Serif" w:hAnsi="Times New Roman;Times;Serif"/>
              </w:rPr>
              <w:t>Contract assets-</w:t>
            </w:r>
            <w:r>
              <w:rPr/>
              <w:t xml:space="preserve"> </w:t>
            </w:r>
            <w:r>
              <w:rPr>
                <w:rFonts w:ascii="Times New Roman;Times;Serif" w:hAnsi="Times New Roman;Times;Serif"/>
              </w:rPr>
              <w:t>non-current, net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10,995,921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 w:name="xdx_980_eus-gaap--ContractWithCustomerAs"/>
            <w:bookmarkEnd w:id="53"/>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1,594,074</w:t>
            </w:r>
          </w:p>
        </w:tc>
        <w:tc>
          <w:tcPr>
            <w:tcW w:w="114" w:type="dxa"/>
            <w:tcBorders/>
            <w:shd w:fill="CCEEFF" w:val="clear"/>
            <w:vAlign w:val="center"/>
          </w:tcPr>
          <w:p>
            <w:pPr>
              <w:pStyle w:val="TableContents"/>
              <w:bidi w:val="0"/>
              <w:spacing w:before="0" w:after="283"/>
              <w:jc w:val="left"/>
              <w:rPr/>
            </w:pPr>
            <w:r>
              <w:rPr/>
              <w:t> </w:t>
            </w:r>
            <w:bookmarkStart w:id="54" w:name="xdx_408_eus-gaap--AssetsNoncurrent_i02TI"/>
            <w:bookmarkEnd w:id="54"/>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assets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12,362,970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12,627,380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 w:name="xdx_98D_eus-gaap--AssetsNoncurrent_i02TI"/>
            <w:bookmarkEnd w:id="55"/>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1,830,586</w:t>
            </w:r>
          </w:p>
        </w:tc>
        <w:tc>
          <w:tcPr>
            <w:tcW w:w="114" w:type="dxa"/>
            <w:tcBorders/>
            <w:shd w:fill="FFFFFF" w:val="clear"/>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56" w:name="xdx_407_eus-gaap--Assets_i01TI_mtAzaaU_z"/>
            <w:bookmarkEnd w:id="56"/>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340,122,165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398,918,939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7" w:name="xdx_98A_eus-gaap--Assets_i01TI_uUSD_c202"/>
            <w:bookmarkEnd w:id="57"/>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57,831,101</w:t>
            </w:r>
          </w:p>
        </w:tc>
        <w:tc>
          <w:tcPr>
            <w:tcW w:w="114" w:type="dxa"/>
            <w:tcBorders/>
            <w:shd w:fill="FFFFFF" w:val="clear"/>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58" w:name="xdx_409_eus-gaap--LiabilitiesAbstract_iB"/>
            <w:bookmarkEnd w:id="58"/>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59" w:name="xdx_40A_eus-gaap--LiabilitiesCurrentAbst"/>
            <w:bookmarkEnd w:id="59"/>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60" w:name="xdx_40D_eus-gaap--ShortTermBorrowings_i0"/>
            <w:bookmarkEnd w:id="60"/>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borrowing</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61" w:name="xdx_982_eus-gaap--ShortTermBorrowings_i0"/>
            <w:bookmarkEnd w:id="61"/>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1,449,696</w:t>
            </w:r>
          </w:p>
        </w:tc>
        <w:tc>
          <w:tcPr>
            <w:tcW w:w="114" w:type="dxa"/>
            <w:tcBorders/>
            <w:shd w:fill="CCEEFF" w:val="clear"/>
            <w:vAlign w:val="center"/>
          </w:tcPr>
          <w:p>
            <w:pPr>
              <w:pStyle w:val="TableContents"/>
              <w:bidi w:val="0"/>
              <w:spacing w:before="0" w:after="283"/>
              <w:jc w:val="left"/>
              <w:rPr/>
            </w:pPr>
            <w:r>
              <w:rPr/>
              <w:t> </w:t>
            </w:r>
            <w:bookmarkStart w:id="62" w:name="xdx_409_eus-gaap--AccountsPayableCurrent"/>
            <w:bookmarkEnd w:id="62"/>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21,797,667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15,767,146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63" w:name="xdx_98D_eus-gaap--AccountsPayableCurrent"/>
            <w:bookmarkEnd w:id="63"/>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2,285,756</w:t>
            </w:r>
          </w:p>
        </w:tc>
        <w:tc>
          <w:tcPr>
            <w:tcW w:w="114" w:type="dxa"/>
            <w:tcBorders/>
            <w:shd w:fill="FFFFFF" w:val="clear"/>
            <w:vAlign w:val="center"/>
          </w:tcPr>
          <w:p>
            <w:pPr>
              <w:pStyle w:val="TableContents"/>
              <w:bidi w:val="0"/>
              <w:spacing w:before="0" w:after="283"/>
              <w:jc w:val="left"/>
              <w:rPr/>
            </w:pPr>
            <w:r>
              <w:rPr/>
              <w:t> </w:t>
            </w:r>
            <w:bookmarkStart w:id="64" w:name="xdx_407_eus-gaap--ContractWithCustomerLi"/>
            <w:bookmarkEnd w:id="64"/>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1,691,990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65" w:name="xdx_982_eus-gaap--ContractWithCustomerLi"/>
            <w:bookmarkEnd w:id="65"/>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245,287</w:t>
            </w:r>
          </w:p>
        </w:tc>
        <w:tc>
          <w:tcPr>
            <w:tcW w:w="114" w:type="dxa"/>
            <w:tcBorders/>
            <w:shd w:fill="CCEEFF" w:val="clear"/>
            <w:vAlign w:val="center"/>
          </w:tcPr>
          <w:p>
            <w:pPr>
              <w:pStyle w:val="TableContents"/>
              <w:bidi w:val="0"/>
              <w:spacing w:before="0" w:after="283"/>
              <w:jc w:val="left"/>
              <w:rPr/>
            </w:pPr>
            <w:r>
              <w:rPr/>
              <w:t> </w:t>
            </w:r>
            <w:bookmarkStart w:id="66" w:name="xdx_40A_eus-gaap--AccountsPayableAndOthe"/>
            <w:bookmarkEnd w:id="66"/>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221,848,274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275,039,372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67" w:name="xdx_986_eus-gaap--AccountsPayableAndOthe"/>
            <w:bookmarkEnd w:id="67"/>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39,872,336</w:t>
            </w:r>
          </w:p>
        </w:tc>
        <w:tc>
          <w:tcPr>
            <w:tcW w:w="114" w:type="dxa"/>
            <w:tcBorders/>
            <w:shd w:fill="FFFFFF" w:val="clear"/>
            <w:vAlign w:val="center"/>
          </w:tcPr>
          <w:p>
            <w:pPr>
              <w:pStyle w:val="TableContents"/>
              <w:bidi w:val="0"/>
              <w:spacing w:before="0" w:after="283"/>
              <w:jc w:val="left"/>
              <w:rPr/>
            </w:pPr>
            <w:r>
              <w:rPr/>
              <w:t> </w:t>
            </w:r>
            <w:bookmarkStart w:id="68" w:name="xdx_401_eus-gaap--OtherLiabilitiesCurren"/>
            <w:bookmarkEnd w:id="68"/>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5,244,067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69" w:name="xdx_98F_eus-gaap--OtherLiabilitiesCurren"/>
            <w:bookmarkEnd w:id="69"/>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499,266</w:t>
            </w:r>
          </w:p>
        </w:tc>
        <w:tc>
          <w:tcPr>
            <w:tcW w:w="114" w:type="dxa"/>
            <w:tcBorders/>
            <w:shd w:fill="CCEEFF" w:val="clear"/>
            <w:vAlign w:val="center"/>
          </w:tcPr>
          <w:p>
            <w:pPr>
              <w:pStyle w:val="TableContents"/>
              <w:bidi w:val="0"/>
              <w:spacing w:before="0" w:after="283"/>
              <w:jc w:val="left"/>
              <w:rPr/>
            </w:pPr>
            <w:r>
              <w:rPr/>
              <w:t> </w:t>
            </w:r>
            <w:bookmarkStart w:id="70" w:name="xdx_401_eus-gaap--AccruedIncomeTaxesCurr"/>
            <w:bookmarkEnd w:id="70"/>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10,312,947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12,398,896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1" w:name="xdx_985_eus-gaap--AccruedIncomeTaxesCurr"/>
            <w:bookmarkEnd w:id="71"/>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1,797,462</w:t>
            </w:r>
          </w:p>
        </w:tc>
        <w:tc>
          <w:tcPr>
            <w:tcW w:w="114" w:type="dxa"/>
            <w:tcBorders/>
            <w:shd w:fill="FFFFFF" w:val="clear"/>
            <w:vAlign w:val="center"/>
          </w:tcPr>
          <w:p>
            <w:pPr>
              <w:pStyle w:val="TableContents"/>
              <w:bidi w:val="0"/>
              <w:spacing w:before="0" w:after="283"/>
              <w:jc w:val="left"/>
              <w:rPr/>
            </w:pPr>
            <w:r>
              <w:rPr/>
              <w:t> </w:t>
            </w:r>
            <w:bookmarkStart w:id="72" w:name="xdx_40B_eus-gaap--OperatingLeaseLiabilit"/>
            <w:bookmarkEnd w:id="72"/>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3" w:name="xdx_98D_eus-gaap--OperatingLeaseLiabilit"/>
            <w:bookmarkEnd w:id="73"/>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14,575</w:t>
            </w:r>
          </w:p>
        </w:tc>
        <w:tc>
          <w:tcPr>
            <w:tcW w:w="114" w:type="dxa"/>
            <w:tcBorders/>
            <w:shd w:fill="CCEEFF" w:val="clear"/>
            <w:vAlign w:val="center"/>
          </w:tcPr>
          <w:p>
            <w:pPr>
              <w:pStyle w:val="TableContents"/>
              <w:bidi w:val="0"/>
              <w:spacing w:before="0" w:after="283"/>
              <w:jc w:val="left"/>
              <w:rPr/>
            </w:pPr>
            <w:r>
              <w:rPr/>
              <w:t> </w:t>
            </w:r>
            <w:bookmarkStart w:id="74" w:name="xdx_40E_eus-gaap--LiabilitiesCurrent_i02"/>
            <w:bookmarkEnd w:id="74"/>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270,146,777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318,441,884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5" w:name="xdx_98C_eus-gaap--LiabilitiesCurrent_i02"/>
            <w:bookmarkEnd w:id="75"/>
          </w:p>
        </w:tc>
        <w:tc>
          <w:tcPr>
            <w:tcW w:w="120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46,164,378</w:t>
            </w:r>
          </w:p>
        </w:tc>
        <w:tc>
          <w:tcPr>
            <w:tcW w:w="114" w:type="dxa"/>
            <w:tcBorders/>
            <w:shd w:fill="FFFFFF" w:val="clear"/>
            <w:vAlign w:val="center"/>
          </w:tcPr>
          <w:p>
            <w:pPr>
              <w:pStyle w:val="TableContents"/>
              <w:bidi w:val="0"/>
              <w:spacing w:before="0" w:after="283"/>
              <w:jc w:val="left"/>
              <w:rPr/>
            </w:pPr>
            <w:r>
              <w:rPr/>
              <w:t> </w:t>
            </w:r>
            <w:bookmarkStart w:id="76" w:name="xdx_40F_eus-gaap--LiabilitiesNoncurrentA"/>
            <w:bookmarkEnd w:id="76"/>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liabilities: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77" w:name="xdx_40E_eus-gaap--OperatingLeaseLiabilit"/>
            <w:bookmarkEnd w:id="77"/>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78" w:name="xdx_98F_eus-gaap--OperatingLeaseLiabilit"/>
            <w:bookmarkEnd w:id="78"/>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16,563</w:t>
            </w:r>
          </w:p>
        </w:tc>
        <w:tc>
          <w:tcPr>
            <w:tcW w:w="114" w:type="dxa"/>
            <w:tcBorders/>
            <w:shd w:fill="FFFFFF" w:val="clear"/>
            <w:vAlign w:val="center"/>
          </w:tcPr>
          <w:p>
            <w:pPr>
              <w:pStyle w:val="TableContents"/>
              <w:bidi w:val="0"/>
              <w:spacing w:before="0" w:after="283"/>
              <w:jc w:val="left"/>
              <w:rPr/>
            </w:pPr>
            <w:r>
              <w:rPr/>
              <w:t> </w:t>
            </w:r>
            <w:bookmarkStart w:id="79" w:name="xdx_404_eus-gaap--LiabilitiesNoncurrent_"/>
            <w:bookmarkEnd w:id="79"/>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164,896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114,254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 w:name="xdx_983_eus-gaap--LiabilitiesNoncurrent_"/>
            <w:bookmarkEnd w:id="80"/>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16,563</w:t>
            </w:r>
          </w:p>
        </w:tc>
        <w:tc>
          <w:tcPr>
            <w:tcW w:w="114" w:type="dxa"/>
            <w:tcBorders/>
            <w:shd w:fill="CCEEFF" w:val="clear"/>
            <w:vAlign w:val="center"/>
          </w:tcPr>
          <w:p>
            <w:pPr>
              <w:pStyle w:val="TableContents"/>
              <w:bidi w:val="0"/>
              <w:spacing w:before="0" w:after="283"/>
              <w:jc w:val="left"/>
              <w:rPr/>
            </w:pPr>
            <w:r>
              <w:rPr/>
              <w:t> </w:t>
            </w:r>
          </w:p>
        </w:tc>
      </w:tr>
      <w:tr>
        <w:trPr/>
        <w:tc>
          <w:tcPr>
            <w:tcW w:w="5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1" w:name="xdx_40C_eus-gaap--Liabilities_i01TI_mtLz"/>
            <w:bookmarkEnd w:id="81"/>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270,311,673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318,556,138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2" w:name="xdx_981_eus-gaap--Liabilities_i01TI_uUSD"/>
            <w:bookmarkEnd w:id="82"/>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46,180,941</w:t>
            </w:r>
          </w:p>
        </w:tc>
        <w:tc>
          <w:tcPr>
            <w:tcW w:w="114" w:type="dxa"/>
            <w:tcBorders/>
            <w:shd w:fill="CCEEFF" w:val="clear"/>
            <w:vAlign w:val="center"/>
          </w:tcPr>
          <w:p>
            <w:pPr>
              <w:pStyle w:val="TableContents"/>
              <w:bidi w:val="0"/>
              <w:spacing w:before="0" w:after="283"/>
              <w:jc w:val="left"/>
              <w:rPr/>
            </w:pPr>
            <w:r>
              <w:rPr/>
              <w:t> </w:t>
            </w:r>
            <w:bookmarkStart w:id="83" w:name="xdx_40D_eus-gaap--StockholdersEquityAbst"/>
            <w:bookmarkEnd w:id="83"/>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84" w:name="xdx_40D_eus-gaap--CommonStockShareSubscr"/>
            <w:bookmarkEnd w:id="84"/>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Subscription Receivable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85" w:name="xdx_980_eus-gaap--CommonStockShareSubscr"/>
            <w:bookmarkEnd w:id="85"/>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(2,065</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 w:name="xdx_40F_eus-gaap--CommonStockValue_i01I_"/>
            <w:bookmarkEnd w:id="86"/>
          </w:p>
        </w:tc>
      </w:tr>
      <w:tr>
        <w:trPr/>
        <w:tc>
          <w:tcPr>
            <w:tcW w:w="5640" w:type="dxa"/>
            <w:tcBorders/>
            <w:shd w:fill="FFFFFF" w:val="clear"/>
            <w:vAlign w:val="center"/>
          </w:tcPr>
          <w:p>
            <w:pPr>
              <w:pStyle w:val="TableContents"/>
              <w:bidi w:val="0"/>
              <w:spacing w:before="0" w:after="283"/>
              <w:jc w:val="left"/>
              <w:rPr>
                <w:sz w:val="24"/>
              </w:rPr>
            </w:pPr>
            <w:r>
              <w:rPr>
                <w:rFonts w:ascii="Times New Roman;Times;Serif" w:hAnsi="Times New Roman;Times;Serif"/>
                <w:sz w:val="20"/>
              </w:rPr>
              <w:t>Ordinary shares subscribed (US$</w:t>
            </w:r>
            <w:bookmarkStart w:id="87" w:name="xdx_909_eus-gaap--CommonStockParOrStated"/>
            <w:bookmarkStart w:id="88" w:name="xdx_900_eus-gaap--CommonStockParOrStated"/>
            <w:bookmarkEnd w:id="87"/>
            <w:bookmarkEnd w:id="88"/>
            <w:r>
              <w:rPr>
                <w:rFonts w:ascii="Times New Roman;Times;Serif" w:hAnsi="Times New Roman;Times;Serif"/>
                <w:sz w:val="20"/>
              </w:rPr>
              <w:t xml:space="preserve">0.0001 par value, </w:t>
            </w:r>
            <w:bookmarkStart w:id="89" w:name="xdx_90E_eus-gaap--CommonStockSharesAutho"/>
            <w:bookmarkStart w:id="90" w:name="xdx_908_eus-gaap--CommonStockSharesAutho"/>
            <w:bookmarkEnd w:id="89"/>
            <w:bookmarkEnd w:id="90"/>
            <w:r>
              <w:rPr>
                <w:rFonts w:ascii="Times New Roman;Times;Serif" w:hAnsi="Times New Roman;Times;Serif"/>
                <w:sz w:val="20"/>
              </w:rPr>
              <w:t xml:space="preserve">500,000,000 shares authorized as of September 30, 2025 and March 31, 2026; </w:t>
            </w:r>
            <w:bookmarkStart w:id="91" w:name="xdx_90B_eus-gaap--CommonStockSharesOutst"/>
            <w:bookmarkStart w:id="92" w:name="xdx_909_eus-gaap--CommonStockSharesOutst"/>
            <w:bookmarkStart w:id="93" w:name="xdx_904_eus-gaap--CommonStockSharesIssue"/>
            <w:bookmarkStart w:id="94" w:name="xdx_908_eus-gaap--CommonStockSharesIssue"/>
            <w:bookmarkEnd w:id="91"/>
            <w:bookmarkEnd w:id="92"/>
            <w:bookmarkEnd w:id="93"/>
            <w:bookmarkEnd w:id="94"/>
            <w:r>
              <w:rPr>
                <w:rFonts w:ascii="Times New Roman;Times;Serif" w:hAnsi="Times New Roman;Times;Serif"/>
                <w:sz w:val="20"/>
              </w:rPr>
              <w:t>21,448,632 shares issued and outstanding as of September 30, 2025 and March 31, 2026)</w:t>
            </w:r>
            <w:r>
              <w:rPr>
                <w:sz w:val="24"/>
              </w:rPr>
              <w:t xml:space="preserve"> </w:t>
            </w:r>
            <w:bookmarkStart w:id="95" w:name="xdx_F4F_zRWa46FVh6og"/>
            <w:bookmarkEnd w:id="95"/>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96" w:name="xdx_984_eus-gaap--CommonStockValue_i01I_"/>
            <w:bookmarkEnd w:id="96"/>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w:t>
            </w:r>
          </w:p>
        </w:tc>
        <w:tc>
          <w:tcPr>
            <w:tcW w:w="114" w:type="dxa"/>
            <w:tcBorders/>
            <w:shd w:fill="FFFFFF" w:val="clear"/>
            <w:vAlign w:val="center"/>
          </w:tcPr>
          <w:p>
            <w:pPr>
              <w:pStyle w:val="TableContents"/>
              <w:bidi w:val="0"/>
              <w:spacing w:before="0" w:after="283"/>
              <w:jc w:val="left"/>
              <w:rPr/>
            </w:pPr>
            <w:r>
              <w:rPr/>
              <w:t> </w:t>
            </w:r>
            <w:bookmarkStart w:id="97" w:name="xdx_40E_eus-gaap--AdditionalPaidInCapita"/>
            <w:bookmarkEnd w:id="97"/>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26,281,420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26,281,420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98" w:name="xdx_986_eus-gaap--AdditionalPaidInCapita"/>
            <w:bookmarkEnd w:id="98"/>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3,810,006</w:t>
            </w:r>
          </w:p>
        </w:tc>
        <w:tc>
          <w:tcPr>
            <w:tcW w:w="114" w:type="dxa"/>
            <w:tcBorders/>
            <w:shd w:fill="CCEEFF" w:val="clear"/>
            <w:vAlign w:val="center"/>
          </w:tcPr>
          <w:p>
            <w:pPr>
              <w:pStyle w:val="TableContents"/>
              <w:bidi w:val="0"/>
              <w:spacing w:before="0" w:after="283"/>
              <w:jc w:val="left"/>
              <w:rPr/>
            </w:pPr>
            <w:r>
              <w:rPr/>
              <w:t> </w:t>
            </w:r>
            <w:bookmarkStart w:id="99" w:name="xdx_404_eus-gaap--StatutoryAccountingPra"/>
            <w:bookmarkEnd w:id="99"/>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reserve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5,883,035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7,048,957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00" w:name="xdx_98A_eus-gaap--StatutoryAccountingPra"/>
            <w:bookmarkEnd w:id="100"/>
          </w:p>
        </w:tc>
        <w:tc>
          <w:tcPr>
            <w:tcW w:w="12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1,021,884</w:t>
            </w:r>
          </w:p>
        </w:tc>
        <w:tc>
          <w:tcPr>
            <w:tcW w:w="114" w:type="dxa"/>
            <w:tcBorders/>
            <w:shd w:fill="FFFFFF" w:val="clear"/>
            <w:vAlign w:val="center"/>
          </w:tcPr>
          <w:p>
            <w:pPr>
              <w:pStyle w:val="TableContents"/>
              <w:bidi w:val="0"/>
              <w:spacing w:before="0" w:after="283"/>
              <w:jc w:val="left"/>
              <w:rPr/>
            </w:pPr>
            <w:r>
              <w:rPr/>
              <w:t> </w:t>
            </w:r>
            <w:bookmarkStart w:id="101" w:name="xdx_409_eus-gaap--RetainedEarningsAccumu"/>
            <w:bookmarkEnd w:id="101"/>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37,645,105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48,138,412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02" w:name="xdx_981_eus-gaap--RetainedEarningsAccumu"/>
            <w:bookmarkEnd w:id="102"/>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6,978,604</w:t>
            </w:r>
          </w:p>
        </w:tc>
        <w:tc>
          <w:tcPr>
            <w:tcW w:w="114" w:type="dxa"/>
            <w:tcBorders/>
            <w:shd w:fill="CCEEFF" w:val="clear"/>
            <w:vAlign w:val="center"/>
          </w:tcPr>
          <w:p>
            <w:pPr>
              <w:pStyle w:val="TableContents"/>
              <w:bidi w:val="0"/>
              <w:spacing w:before="0" w:after="283"/>
              <w:jc w:val="left"/>
              <w:rPr/>
            </w:pPr>
            <w:r>
              <w:rPr/>
              <w:t> </w:t>
            </w:r>
            <w:bookmarkStart w:id="103" w:name="xdx_407_eus-gaap--AccumulatedOtherCompre"/>
            <w:bookmarkEnd w:id="103"/>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(1,107,011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4" w:name="xdx_98B_eus-gaap--AccumulatedOtherCompre"/>
            <w:bookmarkEnd w:id="104"/>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(160,483</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5" w:name="xdx_409_eus-gaap--StockholdersEquity_i01"/>
            <w:bookmarkEnd w:id="105"/>
          </w:p>
        </w:tc>
      </w:tr>
      <w:tr>
        <w:trPr/>
        <w:tc>
          <w:tcPr>
            <w:tcW w:w="56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69,810,492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80,362,801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6" w:name="xdx_98A_eus-gaap--StockholdersEquity_i01"/>
            <w:bookmarkEnd w:id="106"/>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11,650,160</w:t>
            </w:r>
          </w:p>
        </w:tc>
        <w:tc>
          <w:tcPr>
            <w:tcW w:w="114" w:type="dxa"/>
            <w:tcBorders/>
            <w:shd w:fill="CCEEFF" w:val="clear"/>
            <w:vAlign w:val="center"/>
          </w:tcPr>
          <w:p>
            <w:pPr>
              <w:pStyle w:val="TableContents"/>
              <w:bidi w:val="0"/>
              <w:spacing w:before="0" w:after="283"/>
              <w:jc w:val="left"/>
              <w:rPr/>
            </w:pPr>
            <w:r>
              <w:rPr/>
              <w:t> </w:t>
            </w:r>
            <w:bookmarkStart w:id="107" w:name="xdx_405_eus-gaap--LiabilitiesAndStockhol"/>
            <w:bookmarkEnd w:id="107"/>
          </w:p>
        </w:tc>
      </w:tr>
      <w:tr>
        <w:trPr/>
        <w:tc>
          <w:tcPr>
            <w:tcW w:w="56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340,122,165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398,918,939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8" w:name="xdx_980_eus-gaap--LiabilitiesAndStockhol"/>
            <w:bookmarkEnd w:id="108"/>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57,831,101</w:t>
            </w:r>
          </w:p>
        </w:tc>
        <w:tc>
          <w:tcPr>
            <w:tcW w:w="114"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center"/>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260"/>
        <w:gridCol w:w="4595"/>
      </w:tblGrid>
      <w:tr>
        <w:trPr/>
        <w:tc>
          <w:tcPr>
            <w:tcW w:w="260" w:type="dxa"/>
            <w:tcBorders/>
            <w:vAlign w:val="center"/>
          </w:tcPr>
          <w:p>
            <w:pPr>
              <w:pStyle w:val="TableContents"/>
              <w:bidi w:val="0"/>
              <w:spacing w:before="0" w:after="283"/>
              <w:jc w:val="left"/>
              <w:rPr>
                <w:rFonts w:ascii="Times New Roman;Times;Serif" w:hAnsi="Times New Roman;Times;Serif"/>
                <w:sz w:val="20"/>
              </w:rPr>
            </w:pPr>
            <w:bookmarkStart w:id="109" w:name="xdx_F03_z9x7JRukjDSl"/>
            <w:bookmarkEnd w:id="109"/>
            <w:r>
              <w:rPr>
                <w:rFonts w:ascii="Times New Roman;Times;Serif" w:hAnsi="Times New Roman;Times;Serif"/>
                <w:sz w:val="20"/>
              </w:rPr>
              <w:t>(1)</w:t>
            </w:r>
          </w:p>
        </w:tc>
        <w:tc>
          <w:tcPr>
            <w:tcW w:w="4595" w:type="dxa"/>
            <w:tcBorders/>
            <w:vAlign w:val="center"/>
          </w:tcPr>
          <w:p>
            <w:pPr>
              <w:pStyle w:val="TableContents"/>
              <w:bidi w:val="0"/>
              <w:spacing w:before="0" w:after="283"/>
              <w:jc w:val="both"/>
              <w:rPr>
                <w:rFonts w:ascii="Times New Roman;Times;Serif" w:hAnsi="Times New Roman;Times;Serif"/>
                <w:sz w:val="20"/>
              </w:rPr>
            </w:pPr>
            <w:bookmarkStart w:id="110" w:name="xdx_F1E_zBj8E5VpXPUg"/>
            <w:bookmarkEnd w:id="110"/>
            <w:r>
              <w:rPr>
                <w:rFonts w:ascii="Times New Roman;Times;Serif" w:hAnsi="Times New Roman;Times;Serif"/>
                <w:sz w:val="20"/>
              </w:rPr>
              <w:t>Giving retroactive effect to Reorganization transactions.</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2025 AND MARCH 31,2026</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1" w:name="xdx_309_113_zmZGrAAMHs35"/>
      <w:bookmarkStart w:id="112" w:name="xdx_309_113_zmZGrAAMHs35"/>
      <w:bookmarkEnd w:id="112"/>
    </w:p>
    <w:tbl>
      <w:tblPr>
        <w:tblW w:w="10205" w:type="dxa"/>
        <w:jc w:val="left"/>
        <w:tblInd w:w="0" w:type="dxa"/>
        <w:tblLayout w:type="fixed"/>
        <w:tblCellMar>
          <w:top w:w="0" w:type="dxa"/>
          <w:left w:w="0" w:type="dxa"/>
          <w:bottom w:w="0" w:type="dxa"/>
          <w:right w:w="0" w:type="dxa"/>
        </w:tblCellMar>
      </w:tblPr>
      <w:tblGrid>
        <w:gridCol w:w="6530"/>
        <w:gridCol w:w="60"/>
        <w:gridCol w:w="60"/>
        <w:gridCol w:w="1055"/>
        <w:gridCol w:w="80"/>
        <w:gridCol w:w="60"/>
        <w:gridCol w:w="60"/>
        <w:gridCol w:w="1055"/>
        <w:gridCol w:w="80"/>
        <w:gridCol w:w="60"/>
        <w:gridCol w:w="60"/>
        <w:gridCol w:w="950"/>
        <w:gridCol w:w="95"/>
      </w:tblGrid>
      <w:tr>
        <w:trPr/>
        <w:tc>
          <w:tcPr>
            <w:tcW w:w="6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3" w:name="xdx_495_20241001__20250331_zlAFLLGpdL94"/>
            <w:bookmarkEnd w:id="113"/>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14" w:name="xdx_49A_20251001__20260331_zqCWruMxwlMg"/>
            <w:bookmarkEnd w:id="114"/>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15" w:name="xdx_405_eus-gaap--RevenueFromContractWit"/>
            <w:bookmarkEnd w:id="115"/>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(including revenues from related parties of RMB</w:t>
            </w:r>
            <w:bookmarkStart w:id="116" w:name="xdx_90D_eus-gaap--RevenueFromContractWit"/>
            <w:bookmarkEnd w:id="116"/>
            <w:r>
              <w:rPr>
                <w:rFonts w:ascii="Times New Roman;Times;Serif" w:hAnsi="Times New Roman;Times;Serif"/>
                <w:b/>
                <w:i w:val="false"/>
                <w:caps w:val="false"/>
                <w:smallCaps w:val="false"/>
                <w:sz w:val="20"/>
              </w:rPr>
              <w:t>42,257,767 and RMB</w:t>
            </w:r>
            <w:bookmarkStart w:id="117" w:name="xdx_905_eus-gaap--RevenueFromContractWit"/>
            <w:bookmarkEnd w:id="117"/>
            <w:r>
              <w:rPr>
                <w:rFonts w:ascii="Times New Roman;Times;Serif" w:hAnsi="Times New Roman;Times;Serif"/>
                <w:b/>
                <w:i w:val="false"/>
                <w:caps w:val="false"/>
                <w:smallCaps w:val="false"/>
                <w:sz w:val="20"/>
              </w:rPr>
              <w:t>63,792,598 for the six months ended March 31, 2025 and 2026,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102,175,246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124,292,811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8" w:name="xdx_989_eus-gaap--RevenueFromContractWit"/>
            <w:bookmarkEnd w:id="118"/>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18,018,674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9" w:name="xdx_40E_eus-gaap--CostOfRevenue_msGPzMnW"/>
            <w:bookmarkEnd w:id="119"/>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85,456,746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104,839,391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20" w:name="xdx_98D_eus-gaap--CostOfRevenue_uUSD_c20"/>
            <w:bookmarkEnd w:id="120"/>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15,198,520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1" w:name="xdx_401_eus-gaap--GrossProfit_iT_mtGPzMn"/>
            <w:bookmarkEnd w:id="121"/>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16,718,500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19,453,420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22" w:name="xdx_983_eus-gaap--GrossProfit_iT_uUSD_c2"/>
            <w:bookmarkEnd w:id="122"/>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2,820,154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3" w:name="xdx_408_eus-gaap--OperatingExpensesAbstr"/>
            <w:bookmarkEnd w:id="123"/>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4" w:name="xdx_40A_eus-gaap--SellingGeneralAndAdmin"/>
            <w:bookmarkEnd w:id="124"/>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3,105,980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5,959,721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25" w:name="xdx_98A_eus-gaap--SellingGeneralAndAdmin"/>
            <w:bookmarkEnd w:id="125"/>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863,978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6" w:name="xdx_40C_eus-gaap--OperatingExpenses_i01T"/>
            <w:bookmarkEnd w:id="126"/>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3,105,980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5,959,721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27" w:name="xdx_986_eus-gaap--OperatingExpenses_i01T"/>
            <w:bookmarkEnd w:id="127"/>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863,978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8" w:name="xdx_40F_eus-gaap--OperatingIncomeLoss_iT"/>
            <w:bookmarkEnd w:id="128"/>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13,612,520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13,493,699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 w:name="xdx_98C_eus-gaap--OperatingIncomeLoss_iT"/>
            <w:bookmarkEnd w:id="129"/>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1,956,176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0" w:name="xdx_401_eus-gaap--InterestIncomeExpenseN"/>
            <w:bookmarkEnd w:id="130"/>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1" w:name="xdx_98F_eus-gaap--InterestIncomeExpenseN"/>
            <w:bookmarkEnd w:id="131"/>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2" w:name="xdx_403_eus-gaap--OtherIncome_maILFCOznr"/>
            <w:bookmarkEnd w:id="132"/>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3" w:name="xdx_98F_eus-gaap--OtherIncome_uUSD_c2025"/>
            <w:bookmarkEnd w:id="133"/>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4" w:name="xdx_401_eus-gaap--IncomeLossFromContinui"/>
            <w:bookmarkEnd w:id="134"/>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13,611,847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13,669,524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5" w:name="xdx_98C_eus-gaap--IncomeLossFromContinui"/>
            <w:bookmarkEnd w:id="135"/>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1,981,665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6" w:name="xdx_40A_eus-gaap--IncomeTaxExpenseBenefi"/>
            <w:bookmarkEnd w:id="136"/>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2,045,183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2,010,295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37" w:name="xdx_980_eus-gaap--IncomeTaxExpenseBenefi"/>
            <w:bookmarkEnd w:id="137"/>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8" w:name="xdx_404_eus-gaap--NetIncomeLoss_iT_mtNIL"/>
            <w:bookmarkEnd w:id="138"/>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11,566,664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11,659,229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9" w:name="xdx_985_eus-gaap--NetIncomeLoss_iT_uUSD_"/>
            <w:bookmarkEnd w:id="139"/>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1,690,233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0" w:name="xdx_40C_eus-gaap--OtherComprehensiveInco"/>
            <w:bookmarkEnd w:id="140"/>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comprehensive loss, net of tax of </w:t>
            </w:r>
            <w:bookmarkStart w:id="141" w:name="xdx_907_eus-gaap--OtherComprehensiveInco"/>
            <w:bookmarkStart w:id="142" w:name="xdx_909_eus-gaap--OtherComprehensiveInco"/>
            <w:bookmarkEnd w:id="141"/>
            <w:bookmarkEnd w:id="142"/>
            <w:r>
              <w:rPr>
                <w:rFonts w:ascii="Times New Roman;Times;Serif" w:hAnsi="Times New Roman;Times;Serif"/>
                <w:b w:val="false"/>
                <w:i w:val="false"/>
                <w:caps w:val="false"/>
                <w:smallCaps w:val="false"/>
                <w:sz w:val="20"/>
              </w:rPr>
              <w:t>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(1,107,011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43" w:name="xdx_988_eus-gaap--OtherComprehensiveInco"/>
            <w:bookmarkEnd w:id="143"/>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(160,483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4" w:name="xdx_40E_eus-gaap--ComprehensiveIncomeNet"/>
            <w:bookmarkEnd w:id="144"/>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11,566,664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10,552,218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45" w:name="xdx_986_eus-gaap--ComprehensiveIncomeNet"/>
            <w:bookmarkEnd w:id="145"/>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1,529,750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6" w:name="xdx_40C_eus-gaap--EarningsPerShareAbstra"/>
            <w:bookmarkEnd w:id="146"/>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share-basic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47" w:name="xdx_90B_eus-gaap--WeightedAverageNumberO"/>
            <w:bookmarkStart w:id="148" w:name="xdx_901_eus-gaap--WeightedAverageNumberO"/>
            <w:bookmarkEnd w:id="147"/>
            <w:bookmarkEnd w:id="148"/>
            <w:r>
              <w:rPr>
                <w:rFonts w:ascii="Times New Roman;Times;Serif" w:hAnsi="Times New Roman;Times;Serif"/>
                <w:b w:val="false"/>
                <w:i w:val="false"/>
                <w:caps w:val="false"/>
                <w:smallCaps w:val="false"/>
                <w:sz w:val="20"/>
              </w:rPr>
              <w:t>20,011,132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49" w:name="xdx_905_eus-gaap--WeightedAverageNumberO"/>
            <w:bookmarkStart w:id="150" w:name="xdx_907_eus-gaap--WeightedAverageNumberO"/>
            <w:bookmarkEnd w:id="149"/>
            <w:bookmarkEnd w:id="150"/>
            <w:r>
              <w:rPr>
                <w:rFonts w:ascii="Times New Roman;Times;Serif" w:hAnsi="Times New Roman;Times;Serif"/>
                <w:b w:val="false"/>
                <w:i w:val="false"/>
                <w:caps w:val="false"/>
                <w:smallCaps w:val="false"/>
                <w:sz w:val="20"/>
              </w:rPr>
              <w:t>21,448,632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1" w:name="xdx_90A_eus-gaap--WeightedAverageNumberO"/>
            <w:bookmarkStart w:id="152" w:name="xdx_90C_eus-gaap--WeightedAverageNumberO"/>
            <w:bookmarkEnd w:id="151"/>
            <w:bookmarkEnd w:id="152"/>
            <w:r>
              <w:rPr>
                <w:rFonts w:ascii="Times New Roman;Times;Serif" w:hAnsi="Times New Roman;Times;Serif"/>
                <w:b w:val="false"/>
                <w:i w:val="false"/>
                <w:caps w:val="false"/>
                <w:smallCaps w:val="false"/>
                <w:sz w:val="20"/>
              </w:rPr>
              <w:t>21,448,632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3" w:name="xdx_90C_eus-gaap--EarningsPerShareDilute"/>
            <w:bookmarkStart w:id="154" w:name="xdx_901_eus-gaap--EarningsPerShareBasic_"/>
            <w:bookmarkEnd w:id="153"/>
            <w:bookmarkEnd w:id="154"/>
            <w:r>
              <w:rPr>
                <w:rFonts w:ascii="Times New Roman;Times;Serif" w:hAnsi="Times New Roman;Times;Serif"/>
                <w:b w:val="false"/>
                <w:i w:val="false"/>
                <w:caps w:val="false"/>
                <w:smallCaps w:val="false"/>
                <w:sz w:val="20"/>
              </w:rPr>
              <w:t>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5" w:name="xdx_906_eus-gaap--EarningsPerShareDilute"/>
            <w:bookmarkStart w:id="156" w:name="xdx_90F_eus-gaap--EarningsPerShareBasic_"/>
            <w:bookmarkEnd w:id="155"/>
            <w:bookmarkEnd w:id="156"/>
            <w:r>
              <w:rPr>
                <w:rFonts w:ascii="Times New Roman;Times;Serif" w:hAnsi="Times New Roman;Times;Serif"/>
                <w:b w:val="false"/>
                <w:i w:val="false"/>
                <w:caps w:val="false"/>
                <w:smallCaps w:val="false"/>
                <w:sz w:val="20"/>
              </w:rPr>
              <w:t>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7" w:name="xdx_90A_eus-gaap--EarningsPerShareDilute"/>
            <w:bookmarkStart w:id="158" w:name="xdx_90D_eus-gaap--EarningsPerShareBasic_"/>
            <w:bookmarkEnd w:id="157"/>
            <w:bookmarkEnd w:id="158"/>
            <w:r>
              <w:rPr>
                <w:rFonts w:ascii="Times New Roman;Times;Serif" w:hAnsi="Times New Roman;Times;Serif"/>
                <w:b w:val="false"/>
                <w:i w:val="false"/>
                <w:caps w:val="false"/>
                <w:smallCaps w:val="false"/>
                <w:sz w:val="20"/>
              </w:rPr>
              <w:t>0.08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SHAREHOLDERS’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2025 AND 2026</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9" w:name="xdx_305_114_zROV4MSWHs09"/>
      <w:bookmarkStart w:id="160" w:name="xdx_305_114_zROV4MSWHs09"/>
      <w:bookmarkEnd w:id="160"/>
    </w:p>
    <w:tbl>
      <w:tblPr>
        <w:tblW w:w="12740" w:type="dxa"/>
        <w:jc w:val="left"/>
        <w:tblInd w:w="0" w:type="dxa"/>
        <w:tblLayout w:type="fixed"/>
        <w:tblCellMar>
          <w:top w:w="0" w:type="dxa"/>
          <w:left w:w="0" w:type="dxa"/>
          <w:bottom w:w="0" w:type="dxa"/>
          <w:right w:w="0" w:type="dxa"/>
        </w:tblCellMar>
      </w:tblPr>
      <w:tblGrid>
        <w:gridCol w:w="935"/>
        <w:gridCol w:w="60"/>
        <w:gridCol w:w="60"/>
        <w:gridCol w:w="950"/>
        <w:gridCol w:w="60"/>
        <w:gridCol w:w="60"/>
        <w:gridCol w:w="60"/>
        <w:gridCol w:w="590"/>
        <w:gridCol w:w="60"/>
        <w:gridCol w:w="60"/>
        <w:gridCol w:w="89"/>
        <w:gridCol w:w="966"/>
        <w:gridCol w:w="80"/>
        <w:gridCol w:w="60"/>
        <w:gridCol w:w="60"/>
        <w:gridCol w:w="950"/>
        <w:gridCol w:w="60"/>
        <w:gridCol w:w="60"/>
        <w:gridCol w:w="60"/>
        <w:gridCol w:w="845"/>
        <w:gridCol w:w="60"/>
        <w:gridCol w:w="60"/>
        <w:gridCol w:w="77"/>
        <w:gridCol w:w="1173"/>
        <w:gridCol w:w="80"/>
        <w:gridCol w:w="60"/>
        <w:gridCol w:w="68"/>
        <w:gridCol w:w="1092"/>
        <w:gridCol w:w="80"/>
        <w:gridCol w:w="60"/>
        <w:gridCol w:w="65"/>
        <w:gridCol w:w="1035"/>
        <w:gridCol w:w="80"/>
        <w:gridCol w:w="60"/>
        <w:gridCol w:w="573"/>
        <w:gridCol w:w="767"/>
        <w:gridCol w:w="60"/>
        <w:gridCol w:w="60"/>
        <w:gridCol w:w="60"/>
        <w:gridCol w:w="950"/>
        <w:gridCol w:w="95"/>
      </w:tblGrid>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B4_us-gaap--StatementEquityComponen"/>
            <w:bookmarkEnd w:id="161"/>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BF_us-gaap--StatementEquityComponen"/>
            <w:bookmarkEnd w:id="162"/>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7_us-gaap--StatementEquityComponen"/>
            <w:bookmarkEnd w:id="163"/>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8_us-gaap--StatementEquityComponen"/>
            <w:bookmarkEnd w:id="164"/>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8_us-gaap--StatementEquityComponen"/>
            <w:bookmarkEnd w:id="165"/>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D_us-gaap--StatementEquityComponen"/>
            <w:bookmarkEnd w:id="166"/>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8_us-gaap--StatementEquityComponen"/>
            <w:bookmarkEnd w:id="167"/>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5_us-gaap--StatementEquityComponen"/>
            <w:bookmarkEnd w:id="168"/>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 w:name="xdx_4BC_zFs1fidVu6Rb"/>
            <w:bookmarkEnd w:id="169"/>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9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Stock Subscription Receivable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Additional</w:t>
              <w:br/>
              <w:t xml:space="preserve">paid-in </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Statutory </w:t>
              <w:b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Accumulated other 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(Accumulated deficit)/Retained 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Total Julong Holding Limited shareholders’ </w:t>
              <w:b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Non-controlling </w:t>
              <w:b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Total </w:t>
              <w:br/>
              <w:t>equity</w:t>
            </w:r>
          </w:p>
        </w:tc>
        <w:tc>
          <w:tcPr>
            <w:tcW w:w="95"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95" w:type="dxa"/>
            <w:tcBorders/>
            <w:vAlign w:val="center"/>
          </w:tcPr>
          <w:p>
            <w:pPr>
              <w:pStyle w:val="TableContents"/>
              <w:bidi w:val="0"/>
              <w:spacing w:before="0" w:after="283"/>
              <w:jc w:val="left"/>
              <w:rPr/>
            </w:pPr>
            <w:r>
              <w:rPr/>
              <w:t> </w:t>
            </w:r>
            <w:bookmarkStart w:id="170" w:name="xdx_431_c20241001__20250331_eus-gaap--St"/>
            <w:bookmarkEnd w:id="170"/>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 w:name="xdx_980_eus-gaap--SharesOutstanding_iS_c"/>
            <w:bookmarkEnd w:id="171"/>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(14,043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3,267,815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14,108,126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17,375,941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17,375,941</w:t>
            </w:r>
          </w:p>
        </w:tc>
        <w:tc>
          <w:tcPr>
            <w:tcW w:w="95" w:type="dxa"/>
            <w:tcBorders/>
            <w:shd w:fill="CCEEFF" w:val="clear"/>
            <w:vAlign w:val="center"/>
          </w:tcPr>
          <w:p>
            <w:pPr>
              <w:pStyle w:val="TableContents"/>
              <w:bidi w:val="0"/>
              <w:spacing w:before="0" w:after="283"/>
              <w:jc w:val="left"/>
              <w:rPr/>
            </w:pPr>
            <w:r>
              <w:rPr/>
              <w:t> </w:t>
            </w:r>
            <w:bookmarkStart w:id="172" w:name="xdx_402_eus-gaap--NetIncomeLoss_zxymaVuk"/>
            <w:bookmarkEnd w:id="172"/>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11,566,664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11,566,664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11,566,664</w:t>
            </w:r>
          </w:p>
        </w:tc>
        <w:tc>
          <w:tcPr>
            <w:tcW w:w="95" w:type="dxa"/>
            <w:tcBorders/>
            <w:shd w:fill="FFFFFF" w:val="clear"/>
            <w:vAlign w:val="center"/>
          </w:tcPr>
          <w:p>
            <w:pPr>
              <w:pStyle w:val="TableContents"/>
              <w:bidi w:val="0"/>
              <w:spacing w:before="0" w:after="283"/>
              <w:jc w:val="left"/>
              <w:rPr/>
            </w:pPr>
            <w:r>
              <w:rPr/>
              <w:t> </w:t>
            </w:r>
            <w:bookmarkStart w:id="173" w:name="xdx_409_ecustom--ProvisionOfStatutoryRes"/>
            <w:bookmarkEnd w:id="173"/>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of 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(1,156,666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bookmarkStart w:id="174" w:name="xdx_401_eus-gaap--OtherComprehensiveInco"/>
            <w:bookmarkEnd w:id="174"/>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bookmarkStart w:id="175" w:name="xdx_43F_c20241001__20250331_eus-gaap--St"/>
            <w:bookmarkEnd w:id="175"/>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6" w:name="xdx_986_eus-gaap--SharesOutstanding_iE_c"/>
            <w:bookmarkEnd w:id="176"/>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(14,521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4,424,481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24,518,124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28,942,605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28,942,605</w:t>
            </w:r>
          </w:p>
        </w:tc>
        <w:tc>
          <w:tcPr>
            <w:tcW w:w="95" w:type="dxa"/>
            <w:tcBorders/>
            <w:shd w:fill="CCEEFF" w:val="clear"/>
            <w:vAlign w:val="center"/>
          </w:tcPr>
          <w:p>
            <w:pPr>
              <w:pStyle w:val="TableContents"/>
              <w:bidi w:val="0"/>
              <w:spacing w:before="0" w:after="283"/>
              <w:jc w:val="left"/>
              <w:rPr/>
            </w:pPr>
            <w:r>
              <w:rPr/>
              <w:t> </w:t>
            </w:r>
            <w:bookmarkStart w:id="177" w:name="xdx_43C_c20251001__20260331_eus-gaap--St"/>
            <w:bookmarkEnd w:id="177"/>
          </w:p>
        </w:tc>
      </w:tr>
      <w:tr>
        <w:trPr/>
        <w:tc>
          <w:tcPr>
            <w:tcW w:w="935" w:type="dxa"/>
            <w:tcBorders/>
            <w:shd w:fill="FFFFFF" w:val="clear"/>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w:t>
            </w:r>
          </w:p>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 w:name="xdx_986_eus-gaap--SharesOutstanding_iS_c"/>
            <w:bookmarkEnd w:id="178"/>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21,448,632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(14,246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26,281,420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5,883,035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37,645,105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69,810,492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69,810,492</w:t>
            </w:r>
          </w:p>
        </w:tc>
        <w:tc>
          <w:tcPr>
            <w:tcW w:w="95" w:type="dxa"/>
            <w:tcBorders/>
            <w:shd w:fill="FFFFFF" w:val="clear"/>
            <w:vAlign w:val="center"/>
          </w:tcPr>
          <w:p>
            <w:pPr>
              <w:pStyle w:val="TableContents"/>
              <w:bidi w:val="0"/>
              <w:spacing w:before="0" w:after="283"/>
              <w:jc w:val="left"/>
              <w:rPr/>
            </w:pPr>
            <w:r>
              <w:rPr/>
              <w:t> </w:t>
            </w:r>
            <w:bookmarkStart w:id="179" w:name="xdx_438_c20251001__20260331_eus-gaap--St"/>
            <w:bookmarkEnd w:id="179"/>
          </w:p>
        </w:tc>
      </w:tr>
      <w:tr>
        <w:trPr/>
        <w:tc>
          <w:tcPr>
            <w:tcW w:w="93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Balance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 w:name="xdx_98A_eus-gaap--SharesOutstanding_iS_c"/>
            <w:bookmarkEnd w:id="180"/>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21,448,632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(14,246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26,281,420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5,883,035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37,645,105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69,810,492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69,810,492</w:t>
            </w:r>
          </w:p>
        </w:tc>
        <w:tc>
          <w:tcPr>
            <w:tcW w:w="95" w:type="dxa"/>
            <w:tcBorders/>
            <w:shd w:fill="FFFFFF" w:val="clear"/>
            <w:vAlign w:val="center"/>
          </w:tcPr>
          <w:p>
            <w:pPr>
              <w:pStyle w:val="TableContents"/>
              <w:bidi w:val="0"/>
              <w:spacing w:before="0" w:after="283"/>
              <w:jc w:val="left"/>
              <w:rPr/>
            </w:pPr>
            <w:r>
              <w:rPr/>
              <w:t> </w:t>
            </w:r>
            <w:bookmarkStart w:id="181" w:name="xdx_402_eus-gaap--NetIncomeLoss_zxiNwp8T"/>
            <w:bookmarkEnd w:id="181"/>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11,659,229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11,659,229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11,659,229</w:t>
            </w:r>
          </w:p>
        </w:tc>
        <w:tc>
          <w:tcPr>
            <w:tcW w:w="95" w:type="dxa"/>
            <w:tcBorders/>
            <w:shd w:fill="CCEEFF" w:val="clear"/>
            <w:vAlign w:val="center"/>
          </w:tcPr>
          <w:p>
            <w:pPr>
              <w:pStyle w:val="TableContents"/>
              <w:bidi w:val="0"/>
              <w:spacing w:before="0" w:after="283"/>
              <w:jc w:val="left"/>
              <w:rPr/>
            </w:pPr>
            <w:r>
              <w:rPr/>
              <w:t> </w:t>
            </w:r>
            <w:bookmarkStart w:id="182" w:name="xdx_409_ecustom--ProvisionOfStatutoryRes"/>
            <w:bookmarkEnd w:id="182"/>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of statutory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(1,165,922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bookmarkStart w:id="183" w:name="xdx_401_eus-gaap--OtherComprehensiveInco"/>
            <w:bookmarkEnd w:id="183"/>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(1,106,920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(1,106,920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(1,106,920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4" w:name="xdx_431_c20251001__20260331_eus-gaap--St"/>
            <w:bookmarkEnd w:id="184"/>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5" w:name="xdx_981_eus-gaap--SharesOutstanding_iE_c"/>
            <w:bookmarkEnd w:id="185"/>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21,448,632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(14,246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26,281,420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7,048,957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(1,107,011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48,138,412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80,362,801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80,362,801</w:t>
            </w:r>
          </w:p>
        </w:tc>
        <w:tc>
          <w:tcPr>
            <w:tcW w:w="95" w:type="dxa"/>
            <w:tcBorders/>
            <w:shd w:fill="FFFFFF" w:val="clear"/>
            <w:vAlign w:val="center"/>
          </w:tcPr>
          <w:p>
            <w:pPr>
              <w:pStyle w:val="TableContents"/>
              <w:bidi w:val="0"/>
              <w:spacing w:before="0" w:after="283"/>
              <w:jc w:val="left"/>
              <w:rPr/>
            </w:pPr>
            <w:r>
              <w:rPr/>
              <w:t> </w:t>
            </w:r>
            <w:bookmarkStart w:id="186" w:name="xdx_43E_c20251001__20260331_eus-gaap--St"/>
            <w:bookmarkEnd w:id="186"/>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Balance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7" w:name="xdx_985_eus-gaap--SharesOutstanding_iE_c"/>
            <w:bookmarkEnd w:id="187"/>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21,448,632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(14,246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26,281,420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7,048,957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(1,107,011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48,138,412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80,362,801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80,362,801</w:t>
            </w:r>
          </w:p>
        </w:tc>
        <w:tc>
          <w:tcPr>
            <w:tcW w:w="9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UNAUITED CONDENSED CONSOLIDATED STATEMENTS OF CASH FLOWS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MARCH 31, 2025 AND 2026</w:t>
      </w:r>
    </w:p>
    <w:p>
      <w:pPr>
        <w:pStyle w:val="TextBody"/>
        <w:bidi w:val="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8" w:name="xdx_308_112_zk9CpCkP3tdb"/>
      <w:bookmarkStart w:id="189" w:name="xdx_308_112_zk9CpCkP3tdb"/>
      <w:bookmarkEnd w:id="189"/>
    </w:p>
    <w:tbl>
      <w:tblPr>
        <w:tblW w:w="10205" w:type="dxa"/>
        <w:jc w:val="left"/>
        <w:tblInd w:w="0" w:type="dxa"/>
        <w:tblLayout w:type="fixed"/>
        <w:tblCellMar>
          <w:top w:w="0" w:type="dxa"/>
          <w:left w:w="0" w:type="dxa"/>
          <w:bottom w:w="0" w:type="dxa"/>
          <w:right w:w="0" w:type="dxa"/>
        </w:tblCellMar>
      </w:tblPr>
      <w:tblGrid>
        <w:gridCol w:w="6665"/>
        <w:gridCol w:w="60"/>
        <w:gridCol w:w="60"/>
        <w:gridCol w:w="1010"/>
        <w:gridCol w:w="80"/>
        <w:gridCol w:w="60"/>
        <w:gridCol w:w="60"/>
        <w:gridCol w:w="1010"/>
        <w:gridCol w:w="80"/>
        <w:gridCol w:w="60"/>
        <w:gridCol w:w="60"/>
        <w:gridCol w:w="905"/>
        <w:gridCol w:w="95"/>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0" w:name="xdx_492_20241001__20250331_z51p9wmrsSB2"/>
            <w:bookmarkEnd w:id="190"/>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1" w:name="xdx_494_20251001__20260331_zWBDvb6pIQy"/>
            <w:bookmarkEnd w:id="191"/>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March 31,</w:t>
            </w:r>
          </w:p>
        </w:tc>
        <w:tc>
          <w:tcPr>
            <w:tcW w:w="9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95" w:type="dxa"/>
            <w:tcBorders/>
            <w:vAlign w:val="center"/>
          </w:tcPr>
          <w:p>
            <w:pPr>
              <w:pStyle w:val="TableContents"/>
              <w:bidi w:val="0"/>
              <w:spacing w:before="0" w:after="283"/>
              <w:jc w:val="left"/>
              <w:rPr/>
            </w:pPr>
            <w:r>
              <w:rPr/>
              <w:t> </w:t>
            </w:r>
            <w:bookmarkStart w:id="192" w:name="xdx_404_eus-gaap--NetCashProvidedByUsedI"/>
            <w:bookmarkEnd w:id="192"/>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93" w:name="xdx_400_eus-gaap--NetIncomeLoss_i01_maNC"/>
            <w:bookmarkEnd w:id="193"/>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11,566,664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11,659,229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4" w:name="xdx_988_eus-gaap--NetIncomeLoss_i01_uUSD"/>
            <w:bookmarkEnd w:id="194"/>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1,690,233</w:t>
            </w:r>
          </w:p>
        </w:tc>
        <w:tc>
          <w:tcPr>
            <w:tcW w:w="95" w:type="dxa"/>
            <w:tcBorders/>
            <w:shd w:fill="FFFFFF" w:val="clear"/>
            <w:vAlign w:val="center"/>
          </w:tcPr>
          <w:p>
            <w:pPr>
              <w:pStyle w:val="TableContents"/>
              <w:bidi w:val="0"/>
              <w:spacing w:before="0" w:after="283"/>
              <w:jc w:val="left"/>
              <w:rPr/>
            </w:pPr>
            <w:r>
              <w:rPr/>
              <w:t> </w:t>
            </w:r>
            <w:bookmarkStart w:id="195" w:name="xdx_40E_eus-gaap--AdjustmentsToReconcile"/>
            <w:bookmarkEnd w:id="195"/>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96" w:name="xdx_40A_eus-gaap--Depreciation_i02_pp0d_"/>
            <w:bookmarkEnd w:id="196"/>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7" w:name="xdx_985_eus-gaap--Depreciation_i02_uUSD_"/>
            <w:bookmarkEnd w:id="197"/>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1,570</w:t>
            </w:r>
          </w:p>
        </w:tc>
        <w:tc>
          <w:tcPr>
            <w:tcW w:w="95" w:type="dxa"/>
            <w:tcBorders/>
            <w:shd w:fill="FFFFFF" w:val="clear"/>
            <w:vAlign w:val="center"/>
          </w:tcPr>
          <w:p>
            <w:pPr>
              <w:pStyle w:val="TableContents"/>
              <w:bidi w:val="0"/>
              <w:spacing w:before="0" w:after="283"/>
              <w:jc w:val="left"/>
              <w:rPr/>
            </w:pPr>
            <w:r>
              <w:rPr/>
              <w:t> </w:t>
            </w:r>
            <w:bookmarkStart w:id="198" w:name="xdx_40A_eus-gaap--OperatingLeaseRightOfU"/>
            <w:bookmarkEnd w:id="198"/>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the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9" w:name="xdx_98B_eus-gaap--OperatingLeaseRightOfU"/>
            <w:bookmarkEnd w:id="199"/>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7,383</w:t>
            </w:r>
          </w:p>
        </w:tc>
        <w:tc>
          <w:tcPr>
            <w:tcW w:w="95" w:type="dxa"/>
            <w:tcBorders/>
            <w:shd w:fill="CCEEFF" w:val="clear"/>
            <w:vAlign w:val="center"/>
          </w:tcPr>
          <w:p>
            <w:pPr>
              <w:pStyle w:val="TableContents"/>
              <w:bidi w:val="0"/>
              <w:spacing w:before="0" w:after="283"/>
              <w:jc w:val="left"/>
              <w:rPr/>
            </w:pPr>
            <w:r>
              <w:rPr/>
              <w:t> </w:t>
            </w:r>
            <w:bookmarkStart w:id="200" w:name="xdx_406_eus-gaap--ProvisionForDoubtfulAc"/>
            <w:bookmarkEnd w:id="200"/>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of allowance for doubtful accounts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94,292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6,420,154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1" w:name="xdx_98A_eus-gaap--ProvisionForDoubtfulAc"/>
            <w:bookmarkEnd w:id="201"/>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930,727</w:t>
            </w:r>
          </w:p>
        </w:tc>
        <w:tc>
          <w:tcPr>
            <w:tcW w:w="95" w:type="dxa"/>
            <w:tcBorders/>
            <w:shd w:fill="FFFFFF" w:val="clear"/>
            <w:vAlign w:val="center"/>
          </w:tcPr>
          <w:p>
            <w:pPr>
              <w:pStyle w:val="TableContents"/>
              <w:bidi w:val="0"/>
              <w:spacing w:before="0" w:after="283"/>
              <w:jc w:val="left"/>
              <w:rPr/>
            </w:pPr>
            <w:r>
              <w:rPr/>
              <w:t> </w:t>
            </w:r>
            <w:bookmarkStart w:id="202" w:name="xdx_404_ecustom--ProvisionOfAllowanceFor"/>
            <w:bookmarkEnd w:id="202"/>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of allowance for unbilled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1,189,455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7_ecustom--ProvisionOfAllowanceFor"/>
            <w:bookmarkEnd w:id="203"/>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172,435</w:t>
            </w:r>
          </w:p>
        </w:tc>
        <w:tc>
          <w:tcPr>
            <w:tcW w:w="9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04" w:name="xdx_40E_eus-gaap--IncreaseDecreaseInOper"/>
            <w:bookmarkEnd w:id="204"/>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05" w:name="xdx_409_eus-gaap--IncreaseDecreaseInAcco"/>
            <w:bookmarkEnd w:id="205"/>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(4,473,997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3,451,393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6" w:name="xdx_981_eus-gaap--IncreaseDecreaseInAcco"/>
            <w:bookmarkEnd w:id="206"/>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500,347</w:t>
            </w:r>
          </w:p>
        </w:tc>
        <w:tc>
          <w:tcPr>
            <w:tcW w:w="95" w:type="dxa"/>
            <w:tcBorders/>
            <w:shd w:fill="FFFFFF" w:val="clear"/>
            <w:vAlign w:val="center"/>
          </w:tcPr>
          <w:p>
            <w:pPr>
              <w:pStyle w:val="TableContents"/>
              <w:bidi w:val="0"/>
              <w:spacing w:before="0" w:after="283"/>
              <w:jc w:val="left"/>
              <w:rPr/>
            </w:pPr>
            <w:r>
              <w:rPr/>
              <w:t> </w:t>
            </w:r>
            <w:bookmarkStart w:id="207" w:name="xdx_402_ecustom--IncreaseDecreaseInUnbil"/>
            <w:bookmarkEnd w:id="207"/>
          </w:p>
        </w:tc>
      </w:tr>
      <w:tr>
        <w:trPr/>
        <w:tc>
          <w:tcPr>
            <w:tcW w:w="6665" w:type="dxa"/>
            <w:tcBorders/>
            <w:shd w:fill="CCEEFF" w:val="clear"/>
            <w:vAlign w:val="center"/>
          </w:tcPr>
          <w:p>
            <w:pPr>
              <w:pStyle w:val="TableContents"/>
              <w:bidi w:val="0"/>
              <w:spacing w:before="0" w:after="283"/>
              <w:jc w:val="left"/>
              <w:rPr>
                <w:sz w:val="20"/>
              </w:rPr>
            </w:pPr>
            <w:r>
              <w:rPr>
                <w:sz w:val="20"/>
              </w:rPr>
              <w:t>Unbilled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(18,755,216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(63,017,148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08" w:name="xdx_98F_ecustom--IncreaseDecreaseInUnbil"/>
            <w:bookmarkEnd w:id="208"/>
            <w:r>
              <w:rPr>
                <w:rFonts w:ascii="Times New Roman;Times;Serif" w:hAnsi="Times New Roman;Times;Serif"/>
                <w:b w:val="false"/>
                <w:i w:val="false"/>
                <w:caps w:val="false"/>
                <w:smallCaps w:val="false"/>
                <w:sz w:val="20"/>
              </w:rPr>
              <w:t>(9,135,568</w:t>
            </w:r>
          </w:p>
        </w:tc>
        <w:tc>
          <w:tcPr>
            <w:tcW w:w="95" w:type="dxa"/>
            <w:tcBorders/>
            <w:shd w:fill="CCEEFF" w:val="clear"/>
            <w:vAlign w:val="center"/>
          </w:tcPr>
          <w:p>
            <w:pPr>
              <w:pStyle w:val="TableContents"/>
              <w:bidi w:val="0"/>
              <w:spacing w:before="0" w:after="283"/>
              <w:jc w:val="left"/>
              <w:rPr>
                <w:sz w:val="20"/>
              </w:rPr>
            </w:pPr>
            <w:r>
              <w:rPr>
                <w:sz w:val="20"/>
              </w:rPr>
              <w:t>)</w:t>
            </w:r>
            <w:bookmarkStart w:id="209" w:name="xdx_403_eus-gaap--IncreaseDecreaseInCont"/>
            <w:bookmarkEnd w:id="209"/>
          </w:p>
        </w:tc>
      </w:tr>
      <w:tr>
        <w:trPr/>
        <w:tc>
          <w:tcPr>
            <w:tcW w:w="6665" w:type="dxa"/>
            <w:tcBorders/>
            <w:shd w:fill="FFFFFF" w:val="clear"/>
            <w:vAlign w:val="center"/>
          </w:tcPr>
          <w:p>
            <w:pPr>
              <w:pStyle w:val="TableContents"/>
              <w:bidi w:val="0"/>
              <w:spacing w:before="0" w:after="283"/>
              <w:jc w:val="left"/>
              <w:rPr>
                <w:sz w:val="20"/>
              </w:rPr>
            </w:pPr>
            <w:r>
              <w:rPr>
                <w:sz w:val="20"/>
              </w:rPr>
              <w:t>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(2,110,855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968,690</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0" w:name="xdx_980_eus-gaap--IncreaseDecreaseInCont"/>
            <w:bookmarkEnd w:id="210"/>
          </w:p>
        </w:tc>
        <w:tc>
          <w:tcPr>
            <w:tcW w:w="905" w:type="dxa"/>
            <w:tcBorders/>
            <w:shd w:fill="FFFFFF" w:val="clear"/>
            <w:vAlign w:val="center"/>
          </w:tcPr>
          <w:p>
            <w:pPr>
              <w:pStyle w:val="TableContents"/>
              <w:bidi w:val="0"/>
              <w:spacing w:before="0" w:after="283"/>
              <w:jc w:val="right"/>
              <w:rPr>
                <w:sz w:val="20"/>
              </w:rPr>
            </w:pPr>
            <w:r>
              <w:rPr>
                <w:sz w:val="20"/>
              </w:rPr>
              <w:t>140,431</w:t>
            </w:r>
          </w:p>
        </w:tc>
        <w:tc>
          <w:tcPr>
            <w:tcW w:w="95" w:type="dxa"/>
            <w:tcBorders/>
            <w:shd w:fill="FFFFFF" w:val="clear"/>
            <w:vAlign w:val="center"/>
          </w:tcPr>
          <w:p>
            <w:pPr>
              <w:pStyle w:val="TableContents"/>
              <w:bidi w:val="0"/>
              <w:spacing w:before="0" w:after="283"/>
              <w:jc w:val="left"/>
              <w:rPr/>
            </w:pPr>
            <w:r>
              <w:rPr/>
              <w:t> </w:t>
            </w:r>
            <w:bookmarkStart w:id="211" w:name="xdx_404_eus-gaap--IncreaseDecreaseInOthe"/>
            <w:bookmarkEnd w:id="211"/>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(80,510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(23,532,270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2" w:name="xdx_987_eus-gaap--IncreaseDecreaseInOthe"/>
            <w:bookmarkEnd w:id="212"/>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(3,411,463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3" w:name="xdx_40D_eus-gaap--IncreaseDecreaseInPrep"/>
            <w:bookmarkEnd w:id="213"/>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(759,161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(2,245,360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4" w:name="xdx_98A_eus-gaap--IncreaseDecreaseInPrep"/>
            <w:bookmarkEnd w:id="214"/>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(325,509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5" w:name="xdx_401_eus-gaap--IncreaseDecreaseInDueF"/>
            <w:bookmarkEnd w:id="215"/>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2,380,202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6" w:name="xdx_981_eus-gaap--IncreaseDecreaseInDueF"/>
            <w:bookmarkEnd w:id="216"/>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345,057</w:t>
            </w:r>
          </w:p>
        </w:tc>
        <w:tc>
          <w:tcPr>
            <w:tcW w:w="95" w:type="dxa"/>
            <w:tcBorders/>
            <w:shd w:fill="CCEEFF" w:val="clear"/>
            <w:vAlign w:val="center"/>
          </w:tcPr>
          <w:p>
            <w:pPr>
              <w:pStyle w:val="TableContents"/>
              <w:bidi w:val="0"/>
              <w:spacing w:before="0" w:after="283"/>
              <w:jc w:val="left"/>
              <w:rPr/>
            </w:pPr>
            <w:r>
              <w:rPr/>
              <w:t> </w:t>
            </w:r>
            <w:bookmarkStart w:id="217" w:name="xdx_40B_eus-gaap--IncreaseDecreaseInDefe"/>
            <w:bookmarkEnd w:id="217"/>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8" w:name="xdx_980_eus-gaap--IncreaseDecreaseInDefe"/>
            <w:bookmarkEnd w:id="218"/>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(28,448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9" w:name="xdx_405_eus-gaap--IncreaseDecreaseInOthe"/>
            <w:bookmarkEnd w:id="219"/>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0" w:name="xdx_98E_eus-gaap--IncreaseDecreaseInOthe"/>
            <w:bookmarkEnd w:id="220"/>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1" w:name="xdx_40B_eus-gaap--IncreaseDecreaseInAcco"/>
            <w:bookmarkEnd w:id="221"/>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(4,720,741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(7,985,422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2" w:name="xdx_988_eus-gaap--IncreaseDecreaseInAcco"/>
            <w:bookmarkEnd w:id="222"/>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(1,157,643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3" w:name="xdx_400_eus-gaap--IncreaseDecreaseInOthe"/>
            <w:bookmarkEnd w:id="223"/>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16,811,087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46,683,831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4" w:name="xdx_98D_eus-gaap--IncreaseDecreaseInOthe"/>
            <w:bookmarkEnd w:id="224"/>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6,767,734</w:t>
            </w:r>
          </w:p>
        </w:tc>
        <w:tc>
          <w:tcPr>
            <w:tcW w:w="95" w:type="dxa"/>
            <w:tcBorders/>
            <w:shd w:fill="CCEEFF" w:val="clear"/>
            <w:vAlign w:val="center"/>
          </w:tcPr>
          <w:p>
            <w:pPr>
              <w:pStyle w:val="TableContents"/>
              <w:bidi w:val="0"/>
              <w:spacing w:before="0" w:after="283"/>
              <w:jc w:val="left"/>
              <w:rPr/>
            </w:pPr>
            <w:r>
              <w:rPr/>
              <w:t> </w:t>
            </w:r>
            <w:bookmarkStart w:id="225" w:name="xdx_405_eus-gaap--IncreaseDecreaseInAccr"/>
            <w:bookmarkEnd w:id="225"/>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2,085,949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6" w:name="xdx_986_eus-gaap--IncreaseDecreaseInAccr"/>
            <w:bookmarkEnd w:id="226"/>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302,399</w:t>
            </w:r>
          </w:p>
        </w:tc>
        <w:tc>
          <w:tcPr>
            <w:tcW w:w="95" w:type="dxa"/>
            <w:tcBorders/>
            <w:shd w:fill="FFFFFF" w:val="clear"/>
            <w:vAlign w:val="center"/>
          </w:tcPr>
          <w:p>
            <w:pPr>
              <w:pStyle w:val="TableContents"/>
              <w:bidi w:val="0"/>
              <w:spacing w:before="0" w:after="283"/>
              <w:jc w:val="left"/>
              <w:rPr/>
            </w:pPr>
            <w:r>
              <w:rPr/>
              <w:t> </w:t>
            </w:r>
            <w:bookmarkStart w:id="227" w:name="xdx_405_eus-gaap--IncreaseDecreaseInCont"/>
            <w:bookmarkEnd w:id="227"/>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2,081,323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847,233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8" w:name="xdx_981_eus-gaap--IncreaseDecreaseInCont"/>
            <w:bookmarkEnd w:id="228"/>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122,823</w:t>
            </w:r>
          </w:p>
        </w:tc>
        <w:tc>
          <w:tcPr>
            <w:tcW w:w="95" w:type="dxa"/>
            <w:tcBorders/>
            <w:shd w:fill="CCEEFF" w:val="clear"/>
            <w:vAlign w:val="center"/>
          </w:tcPr>
          <w:p>
            <w:pPr>
              <w:pStyle w:val="TableContents"/>
              <w:bidi w:val="0"/>
              <w:spacing w:before="0" w:after="283"/>
              <w:jc w:val="left"/>
              <w:rPr/>
            </w:pPr>
            <w:r>
              <w:rPr/>
              <w:t> </w:t>
            </w:r>
            <w:bookmarkStart w:id="229" w:name="xdx_40C_eus-gaap--IncreaseDecreaseInDueT"/>
            <w:bookmarkEnd w:id="229"/>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(13,836,127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(1,800,127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0" w:name="xdx_980_eus-gaap--IncreaseDecreaseInDueT"/>
            <w:bookmarkEnd w:id="230"/>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(260,964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1" w:name="xdx_405_eus-gaap--IncreaseDecreaseInOper"/>
            <w:bookmarkEnd w:id="231"/>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2" w:name="xdx_983_eus-gaap--IncreaseDecreaseInOper"/>
            <w:bookmarkEnd w:id="232"/>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3" w:name="xdx_400_eus-gaap--IncreaseDecreaseInOthe"/>
            <w:bookmarkEnd w:id="233"/>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2,638,092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5,284,184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34" w:name="xdx_98C_eus-gaap--IncreaseDecreaseInOthe"/>
            <w:bookmarkEnd w:id="234"/>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766,047</w:t>
            </w:r>
          </w:p>
        </w:tc>
        <w:tc>
          <w:tcPr>
            <w:tcW w:w="9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35" w:name="xdx_407_eus-gaap--NetCashProvidedByUsedI"/>
            <w:bookmarkEnd w:id="235"/>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(8,236,979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(17,834,473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6" w:name="xdx_98F_eus-gaap--NetCashProvidedByUsedI"/>
            <w:bookmarkEnd w:id="236"/>
          </w:p>
        </w:tc>
        <w:tc>
          <w:tcPr>
            <w:tcW w:w="9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(2,585,455</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37" w:name="xdx_407_eus-gaap--NetCashProvidedByUsedI"/>
            <w:bookmarkEnd w:id="237"/>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38" w:name="xdx_40B_eus-gaap--PaymentsToAcquirePrope"/>
            <w:bookmarkEnd w:id="238"/>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39" w:name="xdx_988_eus-gaap--PaymentsToAcquirePrope"/>
            <w:bookmarkEnd w:id="239"/>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(12,918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0" w:name="xdx_408_eus-gaap--NetCashProvidedByUsedI"/>
            <w:bookmarkEnd w:id="240"/>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(89,109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1" w:name="xdx_986_eus-gaap--NetCashProvidedByUsedI"/>
            <w:bookmarkEnd w:id="241"/>
          </w:p>
        </w:tc>
        <w:tc>
          <w:tcPr>
            <w:tcW w:w="9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(12,918</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242" w:name="xdx_402_eus-gaap--NetCashProvidedByUsedI"/>
            <w:bookmarkEnd w:id="242"/>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43" w:name="xdx_401_ecustom--ProceedsFromOtherShortT"/>
            <w:bookmarkEnd w:id="243"/>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 from short-term borrowing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4" w:name="xdx_984_ecustom--ProceedsFromOtherShortT"/>
            <w:bookmarkEnd w:id="244"/>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1,449,696</w:t>
            </w:r>
          </w:p>
        </w:tc>
        <w:tc>
          <w:tcPr>
            <w:tcW w:w="95" w:type="dxa"/>
            <w:tcBorders/>
            <w:shd w:fill="CCEEFF" w:val="clear"/>
            <w:vAlign w:val="center"/>
          </w:tcPr>
          <w:p>
            <w:pPr>
              <w:pStyle w:val="TableContents"/>
              <w:bidi w:val="0"/>
              <w:spacing w:before="0" w:after="283"/>
              <w:jc w:val="left"/>
              <w:rPr/>
            </w:pPr>
            <w:r>
              <w:rPr/>
              <w:t> </w:t>
            </w:r>
            <w:bookmarkStart w:id="245" w:name="xdx_408_eus-gaap--ProceedsFromRepayments"/>
            <w:bookmarkEnd w:id="245"/>
          </w:p>
        </w:tc>
      </w:tr>
      <w:tr>
        <w:trPr/>
        <w:tc>
          <w:tcPr>
            <w:tcW w:w="6665" w:type="dxa"/>
            <w:tcBorders/>
            <w:shd w:fill="FFFFFF" w:val="clear"/>
            <w:vAlign w:val="center"/>
          </w:tcPr>
          <w:p>
            <w:pPr>
              <w:pStyle w:val="TableContents"/>
              <w:bidi w:val="0"/>
              <w:spacing w:before="0" w:after="283"/>
              <w:jc w:val="left"/>
              <w:rPr>
                <w:sz w:val="20"/>
              </w:rPr>
            </w:pPr>
            <w:r>
              <w:rPr>
                <w:rFonts w:ascii="Times New Roman;Times;Serif" w:hAnsi="Times New Roman;Times;Serif"/>
                <w:sz w:val="20"/>
              </w:rPr>
              <w:t>Proceed from (repayment of)</w:t>
            </w:r>
            <w:r>
              <w:rPr>
                <w:sz w:val="20"/>
              </w:rPr>
              <w:t xml:space="preserve"> </w:t>
            </w:r>
            <w:r>
              <w:rPr>
                <w:rFonts w:ascii="Times New Roman;Times;Serif" w:hAnsi="Times New Roman;Times;Serif"/>
                <w:sz w:val="20"/>
              </w:rPr>
              <w:t>short-term borrowing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6" w:name="xdx_983_eus-gaap--ProceedsFromRepayments"/>
            <w:bookmarkEnd w:id="246"/>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(1,449,696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7" w:name="xdx_402_eus-gaap--PaymentsOfFinancingCos"/>
            <w:bookmarkEnd w:id="247"/>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(1,169,139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48" w:name="xdx_989_eus-gaap--PaymentsOfFinancingCos"/>
            <w:bookmarkEnd w:id="248"/>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bookmarkStart w:id="249" w:name="xdx_407_eus-gaap--NetCashProvidedByUsedI"/>
            <w:bookmarkEnd w:id="249"/>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8,830,861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50" w:name="xdx_989_eus-gaap--NetCashProvidedByUsedI"/>
            <w:bookmarkEnd w:id="250"/>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bookmarkStart w:id="251" w:name="xdx_402_eus-gaap--EffectOfExchangeRateOn"/>
            <w:bookmarkEnd w:id="251"/>
          </w:p>
        </w:tc>
      </w:tr>
      <w:tr>
        <w:trPr/>
        <w:tc>
          <w:tcPr>
            <w:tcW w:w="666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Exchange rate effect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(1,106,920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2" w:name="xdx_98B_eus-gaap--EffectOfExchangeRateOn"/>
            <w:bookmarkEnd w:id="252"/>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(160,470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3" w:name="xdx_409_eus-gaap--CashCashEquivalentsRes"/>
            <w:bookmarkEnd w:id="253"/>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593,882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(19,030,502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4" w:name="xdx_98C_eus-gaap--CashCashEquivalentsRes"/>
            <w:bookmarkEnd w:id="254"/>
          </w:p>
        </w:tc>
        <w:tc>
          <w:tcPr>
            <w:tcW w:w="9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(2,758,843</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255" w:name="xdx_407_eus-gaap--CashCashEquivalentsRes"/>
            <w:bookmarkEnd w:id="255"/>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cash equivalents and restricted cash at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20,772,130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62,247,745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56" w:name="xdx_988_eus-gaap--CashCashEquivalentsRes"/>
            <w:bookmarkEnd w:id="256"/>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9,024,028</w:t>
            </w:r>
          </w:p>
        </w:tc>
        <w:tc>
          <w:tcPr>
            <w:tcW w:w="9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257" w:name="xdx_40E_eus-gaap--CashCashEquivalentsRes"/>
            <w:bookmarkEnd w:id="257"/>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cash equivalents and restricted cash at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21,366,012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43,217,243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8" w:name="xdx_986_eus-gaap--CashCashEquivalentsRes"/>
            <w:bookmarkEnd w:id="258"/>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6,265,185</w:t>
            </w:r>
          </w:p>
        </w:tc>
        <w:tc>
          <w:tcPr>
            <w:tcW w:w="9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59" w:name="xdx_409_eus-gaap--SupplementalCashFlowIn"/>
      <w:bookmarkStart w:id="260" w:name="xdx_409_eus-gaap--SupplementalCashFlowIn"/>
      <w:bookmarkEnd w:id="260"/>
    </w:p>
    <w:tbl>
      <w:tblPr>
        <w:tblW w:w="6815" w:type="dxa"/>
        <w:jc w:val="left"/>
        <w:tblInd w:w="0" w:type="dxa"/>
        <w:tblLayout w:type="fixed"/>
        <w:tblCellMar>
          <w:top w:w="0" w:type="dxa"/>
          <w:left w:w="0" w:type="dxa"/>
          <w:bottom w:w="0" w:type="dxa"/>
          <w:right w:w="0" w:type="dxa"/>
        </w:tblCellMar>
      </w:tblPr>
      <w:tblGrid>
        <w:gridCol w:w="4055"/>
        <w:gridCol w:w="60"/>
        <w:gridCol w:w="60"/>
        <w:gridCol w:w="650"/>
        <w:gridCol w:w="80"/>
        <w:gridCol w:w="60"/>
        <w:gridCol w:w="60"/>
        <w:gridCol w:w="800"/>
        <w:gridCol w:w="80"/>
        <w:gridCol w:w="60"/>
        <w:gridCol w:w="60"/>
        <w:gridCol w:w="695"/>
        <w:gridCol w:w="95"/>
      </w:tblGrid>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71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bookmarkStart w:id="261" w:name="xdx_407_eus-gaap--IncomeTaxesPaidNet_i01"/>
            <w:bookmarkEnd w:id="261"/>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Income taxes (refund)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(68,832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(12,669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62" w:name="xdx_983_eus-gaap--IncomeTaxesPaidNet_i01"/>
            <w:bookmarkEnd w:id="262"/>
          </w:p>
        </w:tc>
        <w:tc>
          <w:tcPr>
            <w:tcW w:w="69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(1,837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3" w:name="xdx_406_eus-gaap--InterestPaidNet_i01_zs"/>
            <w:bookmarkEnd w:id="263"/>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151,275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4" w:name="xdx_98C_eus-gaap--InterestPaidNet_i01_uU"/>
            <w:bookmarkEnd w:id="264"/>
          </w:p>
        </w:tc>
        <w:tc>
          <w:tcPr>
            <w:tcW w:w="69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21,930 </w:t>
            </w:r>
          </w:p>
        </w:tc>
        <w:tc>
          <w:tcPr>
            <w:tcW w:w="9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jc w:val="center"/>
        <w:rPr>
          <w:caps w:val="false"/>
          <w:smallCaps w:val="false"/>
        </w:rPr>
      </w:pPr>
      <w:bookmarkStart w:id="265" w:name="xdx_80B_eus-gaap--OrganizationConsolidat"/>
      <w:bookmarkEnd w:id="265"/>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85"/>
        <w:gridCol w:w="43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325" w:type="dxa"/>
            <w:tcBorders/>
            <w:vAlign w:val="center"/>
          </w:tcPr>
          <w:p>
            <w:pPr>
              <w:pStyle w:val="TableContents"/>
              <w:bidi w:val="0"/>
              <w:spacing w:before="0" w:after="283"/>
              <w:jc w:val="both"/>
              <w:rPr>
                <w:rFonts w:ascii="Times New Roman;Times;Serif" w:hAnsi="Times New Roman;Times;Serif"/>
                <w:b/>
                <w:sz w:val="20"/>
              </w:rPr>
            </w:pPr>
            <w:bookmarkStart w:id="266" w:name="xdx_826_zvXr772sdI0l"/>
            <w:bookmarkEnd w:id="266"/>
            <w:r>
              <w:rPr>
                <w:rFonts w:ascii="Times New Roman;Times;Serif" w:hAnsi="Times New Roman;Times;Serif"/>
                <w:b/>
                <w:sz w:val="20"/>
              </w:rPr>
              <w:t>ORGANIZATION AND PRINCIPAL ACTIVITIES</w:t>
            </w:r>
          </w:p>
        </w:tc>
      </w:tr>
    </w:tbl>
    <w:p>
      <w:pPr>
        <w:pStyle w:val="TextBody"/>
        <w:bidi w:val="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Principal activities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(“Julong Holding”, or the “the Company”) was incorporated under the law of Cayman Islands on August 7, 2023 as an exempted company with limited liability. The Company and its direct or indirectly owned subsidiaries (collectively, the “Group”) are a provider of intelligent integrated solutions to public utilities, enterprises, commercial, and multifamily properties operating at scale in the People’s Republic of China (“PRC”).</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Organization</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Julong Holding owns </w:t>
      </w:r>
      <w:bookmarkStart w:id="267" w:name="xdx_901_eus-gaap--EquityMethodInvestment"/>
      <w:bookmarkEnd w:id="267"/>
      <w:r>
        <w:rPr>
          <w:rFonts w:ascii="Times New Roman;Times;Serif" w:hAnsi="Times New Roman;Times;Serif"/>
          <w:b w:val="false"/>
          <w:i w:val="false"/>
          <w:caps w:val="false"/>
          <w:smallCaps w:val="false"/>
          <w:sz w:val="20"/>
        </w:rPr>
        <w:t xml:space="preserve">100% equity interest of Jiangshan Holding Limited (“Jiangshan BVI”). Hong Kong Changfeng Holding Limited (“HK Changfeng”) is incorporated under the laws of Hong Kong and it is a </w:t>
      </w:r>
      <w:bookmarkStart w:id="268" w:name="xdx_90F_eus-gaap--EquityMethodInvestment"/>
      <w:bookmarkEnd w:id="268"/>
      <w:r>
        <w:rPr>
          <w:rFonts w:ascii="Times New Roman;Times;Serif" w:hAnsi="Times New Roman;Times;Serif"/>
          <w:b w:val="false"/>
          <w:i w:val="false"/>
          <w:caps w:val="false"/>
          <w:smallCaps w:val="false"/>
          <w:sz w:val="20"/>
        </w:rPr>
        <w:t>100% wholly-owned subsidiary of Jiangshan BVI. Beijing Junxinyuan Technology Development Co. Ltd. (“Beijing Junxinyuan”) is a wholly-owned subsidiary of HK Changfeng incorporated in PRC.</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February 21, 2024, Julong Holding owns </w:t>
      </w:r>
      <w:bookmarkStart w:id="269" w:name="xdx_90C_eus-gaap--EquityMethodInvestment"/>
      <w:bookmarkEnd w:id="269"/>
      <w:r>
        <w:rPr>
          <w:rFonts w:ascii="Times New Roman;Times;Serif" w:hAnsi="Times New Roman;Times;Serif"/>
          <w:b w:val="false"/>
          <w:i w:val="false"/>
          <w:caps w:val="false"/>
          <w:smallCaps w:val="false"/>
          <w:sz w:val="20"/>
        </w:rPr>
        <w:t xml:space="preserve">100% equity interest of Liyun Holding Limited (“Liyun BVI”). Hong Kong Qinan Holding Limited (“HK Qinan”) is a </w:t>
      </w:r>
      <w:bookmarkStart w:id="270" w:name="xdx_90C_eus-gaap--EquityMethodInvestment"/>
      <w:bookmarkEnd w:id="270"/>
      <w:r>
        <w:rPr>
          <w:rFonts w:ascii="Times New Roman;Times;Serif" w:hAnsi="Times New Roman;Times;Serif"/>
          <w:b w:val="false"/>
          <w:i w:val="false"/>
          <w:caps w:val="false"/>
          <w:smallCaps w:val="false"/>
          <w:sz w:val="20"/>
        </w:rPr>
        <w:t>100% wholly-owned subsidiary of Liyun BVI in Hong Kong.</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Online (Beijing) Technology Development Co., Ltd. (“Julong Online”) was established under the laws of the PRC on June 3, 1997, who is the Group’s main operating entity in China.</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Reorganization</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Group undertook the following steps to effect a reorganization (the “Reorganization”) in anticipation of an initial public offering (“IPO”) of the Company’s equity securities,: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Formation of Julong Holding, Jiangshan BVI, HK Changfeng, and Beijing Junxinyuan.</w:t>
      </w:r>
    </w:p>
    <w:p>
      <w:pPr>
        <w:pStyle w:val="TextBody"/>
        <w:bidi w:val="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HK Qinan injected US$</w:t>
      </w:r>
      <w:bookmarkStart w:id="271" w:name="xdx_90D_eus-gaap--BusinessCombinationCon"/>
      <w:bookmarkEnd w:id="271"/>
      <w:r>
        <w:rPr>
          <w:rFonts w:ascii="Times New Roman;Times;Serif" w:hAnsi="Times New Roman;Times;Serif"/>
          <w:b w:val="false"/>
          <w:i w:val="false"/>
          <w:caps w:val="false"/>
          <w:smallCaps w:val="false"/>
          <w:sz w:val="20"/>
        </w:rPr>
        <w:t xml:space="preserve">83,490 in Julong Online and became Julong Online’s </w:t>
      </w:r>
      <w:bookmarkStart w:id="272" w:name="xdx_902_eus-gaap--BusinessAcquisitionPer"/>
      <w:bookmarkEnd w:id="272"/>
      <w:r>
        <w:rPr>
          <w:rFonts w:ascii="Times New Roman;Times;Serif" w:hAnsi="Times New Roman;Times;Serif"/>
          <w:b w:val="false"/>
          <w:i w:val="false"/>
          <w:caps w:val="false"/>
          <w:smallCaps w:val="false"/>
          <w:sz w:val="20"/>
        </w:rPr>
        <w:t>1.00% shareholder.</w:t>
      </w:r>
    </w:p>
    <w:p>
      <w:pPr>
        <w:pStyle w:val="TextBody"/>
        <w:bidi w:val="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Beijing Junxinyuan obtained </w:t>
      </w:r>
      <w:bookmarkStart w:id="273" w:name="xdx_90D_eus-gaap--BusinessAcquisitionPer"/>
      <w:bookmarkEnd w:id="273"/>
      <w:r>
        <w:rPr>
          <w:rFonts w:ascii="Times New Roman;Times;Serif" w:hAnsi="Times New Roman;Times;Serif"/>
          <w:b w:val="false"/>
          <w:i w:val="false"/>
          <w:caps w:val="false"/>
          <w:smallCaps w:val="false"/>
          <w:sz w:val="20"/>
        </w:rPr>
        <w:t>99.00% equity interests of Julong Online with consideration of RMB</w:t>
      </w:r>
      <w:bookmarkStart w:id="274" w:name="xdx_901_eus-gaap--BusinessCombinationCon"/>
      <w:bookmarkEnd w:id="274"/>
      <w:r>
        <w:rPr>
          <w:rFonts w:ascii="Times New Roman;Times;Serif" w:hAnsi="Times New Roman;Times;Serif"/>
          <w:b w:val="false"/>
          <w:i w:val="false"/>
          <w:caps w:val="false"/>
          <w:smallCaps w:val="false"/>
          <w:sz w:val="20"/>
        </w:rPr>
        <w:t>59,098,500.</w:t>
      </w:r>
    </w:p>
    <w:p>
      <w:pPr>
        <w:pStyle w:val="TextBody"/>
        <w:bidi w:val="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Julong Holding acquired </w:t>
      </w:r>
      <w:bookmarkStart w:id="275" w:name="xdx_90A_eus-gaap--BusinessAcquisitionPer"/>
      <w:bookmarkEnd w:id="275"/>
      <w:r>
        <w:rPr>
          <w:rFonts w:ascii="Times New Roman;Times;Serif" w:hAnsi="Times New Roman;Times;Serif"/>
          <w:b w:val="false"/>
          <w:i w:val="false"/>
          <w:caps w:val="false"/>
          <w:smallCaps w:val="false"/>
          <w:sz w:val="20"/>
        </w:rPr>
        <w:t xml:space="preserve">100% of Liyun BVI, the </w:t>
      </w:r>
      <w:bookmarkStart w:id="276" w:name="xdx_900_eus-gaap--BusinessAcquisitionPer"/>
      <w:bookmarkEnd w:id="276"/>
      <w:r>
        <w:rPr>
          <w:rFonts w:ascii="Times New Roman;Times;Serif" w:hAnsi="Times New Roman;Times;Serif"/>
          <w:b w:val="false"/>
          <w:i w:val="false"/>
          <w:caps w:val="false"/>
          <w:smallCaps w:val="false"/>
          <w:sz w:val="20"/>
        </w:rPr>
        <w:t xml:space="preserve">100% shareholder of HK Qinan, by issuing </w:t>
      </w:r>
      <w:bookmarkStart w:id="277" w:name="xdx_908_eus-gaap--BusinessAcquisitionEqu"/>
      <w:bookmarkEnd w:id="277"/>
      <w:r>
        <w:rPr>
          <w:rFonts w:ascii="Times New Roman;Times;Serif" w:hAnsi="Times New Roman;Times;Serif"/>
          <w:b w:val="false"/>
          <w:i w:val="false"/>
          <w:caps w:val="false"/>
          <w:smallCaps w:val="false"/>
          <w:sz w:val="20"/>
        </w:rPr>
        <w:t xml:space="preserve">11,132 of its own common shares, through which Julong Holding indirectly holds </w:t>
      </w:r>
      <w:bookmarkStart w:id="278" w:name="xdx_90E_eus-gaap--BusinessAcquisitionPer"/>
      <w:bookmarkEnd w:id="278"/>
      <w:r>
        <w:rPr>
          <w:rFonts w:ascii="Times New Roman;Times;Serif" w:hAnsi="Times New Roman;Times;Serif"/>
          <w:b w:val="false"/>
          <w:i w:val="false"/>
          <w:caps w:val="false"/>
          <w:smallCaps w:val="false"/>
          <w:sz w:val="20"/>
        </w:rPr>
        <w:t>100% of equity interests in Julong Online.</w:t>
      </w:r>
    </w:p>
    <w:p>
      <w:pPr>
        <w:pStyle w:val="TextBody"/>
        <w:bidi w:val="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Julong Holding issued </w:t>
      </w:r>
      <w:bookmarkStart w:id="279" w:name="xdx_905_eus-gaap--BusinessAcquisitionEqu"/>
      <w:bookmarkEnd w:id="279"/>
      <w:r>
        <w:rPr>
          <w:rFonts w:ascii="Times New Roman;Times;Serif" w:hAnsi="Times New Roman;Times;Serif"/>
          <w:b w:val="false"/>
          <w:i w:val="false"/>
          <w:caps w:val="false"/>
          <w:smallCaps w:val="false"/>
          <w:sz w:val="20"/>
        </w:rPr>
        <w:t xml:space="preserve">20,000,000 ordinary shares to Datongyi Holding Limited, a British Virgin Islands company, Datongyi Holding Limited, a British Virgin Islands company, of which </w:t>
      </w:r>
      <w:bookmarkStart w:id="280" w:name="xdx_90E_eus-gaap--BusinessAcquisitionPer"/>
      <w:bookmarkEnd w:id="280"/>
      <w:r>
        <w:rPr>
          <w:rFonts w:ascii="Times New Roman;Times;Serif" w:hAnsi="Times New Roman;Times;Serif"/>
          <w:b w:val="false"/>
          <w:i w:val="false"/>
          <w:caps w:val="false"/>
          <w:smallCaps w:val="false"/>
          <w:sz w:val="20"/>
        </w:rPr>
        <w:t>96.0% of the equity interests are held by Qiren Holding Limited, a British Virgin Islands company, which is wholly owned by Hushi Holding Limited, a British Virgin Islands company wholly owned by Mr. Jiaqi Hu.</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before and after the Reorganization as described above, Julong Holding together with its subsidiaries, Jiangshan BVI, HK Changfeng, Beijing Junxinyuan and Julong Online were effectively controlled by the same controlling shareholders; therefore, the Reorganization was accounted for as a recapitalization, and thus the current capital structure has been retroactively presented in prior periods as if such structure existed at that time, and the entities under common control are presented on a combined basis for all periods to which such entities were under common control.</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Group successfully listed on Nasdaq.</w:t>
      </w:r>
    </w:p>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jc w:val="both"/>
        <w:rPr>
          <w:caps w:val="false"/>
          <w:smallCaps w:val="false"/>
        </w:rPr>
      </w:pPr>
      <w:bookmarkStart w:id="281" w:name="xdx_808_eus-gaap--SignificantAccountingP"/>
      <w:bookmarkEnd w:id="281"/>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85"/>
        <w:gridCol w:w="36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650" w:type="dxa"/>
            <w:tcBorders/>
            <w:vAlign w:val="center"/>
          </w:tcPr>
          <w:p>
            <w:pPr>
              <w:pStyle w:val="TableContents"/>
              <w:bidi w:val="0"/>
              <w:spacing w:before="0" w:after="283"/>
              <w:jc w:val="left"/>
              <w:rPr>
                <w:rFonts w:ascii="Times New Roman;Times;Serif" w:hAnsi="Times New Roman;Times;Serif"/>
                <w:b/>
                <w:sz w:val="20"/>
              </w:rPr>
            </w:pPr>
            <w:bookmarkStart w:id="282" w:name="xdx_82C_zapaTteDdJLk"/>
            <w:bookmarkEnd w:id="282"/>
            <w:r>
              <w:rPr>
                <w:rFonts w:ascii="Times New Roman;Times;Serif" w:hAnsi="Times New Roman;Times;Serif"/>
                <w:b/>
                <w:sz w:val="20"/>
              </w:rPr>
              <w:t>SIGNIFICANT ACCOUNTING POLICIES</w:t>
            </w:r>
          </w:p>
        </w:tc>
      </w:tr>
    </w:tbl>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val="false"/>
          <w:caps w:val="false"/>
          <w:smallCaps w:val="false"/>
          <w:sz w:val="20"/>
        </w:rPr>
      </w:pPr>
      <w:bookmarkStart w:id="283" w:name="xdx_845_eus-gaap--ConsolidationPolicyTex"/>
      <w:bookmarkEnd w:id="283"/>
      <w:r>
        <w:rPr>
          <w:rFonts w:ascii="Times New Roman;Times;Serif" w:hAnsi="Times New Roman;Times;Serif"/>
          <w:b/>
          <w:i w:val="false"/>
          <w:caps w:val="false"/>
          <w:smallCaps w:val="false"/>
          <w:sz w:val="20"/>
        </w:rPr>
        <w:t xml:space="preserve">(a) </w:t>
      </w:r>
      <w:bookmarkStart w:id="284" w:name="xdx_865_zIgvx91EnnK4"/>
      <w:bookmarkEnd w:id="284"/>
      <w:r>
        <w:rPr>
          <w:rFonts w:ascii="Times New Roman;Times;Serif" w:hAnsi="Times New Roman;Times;Serif"/>
          <w:b/>
          <w:i/>
          <w:caps w:val="false"/>
          <w:smallCaps w:val="false"/>
          <w:sz w:val="20"/>
        </w:rPr>
        <w:t>Principles of presentation and consolidation</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Reorganization was accounted for as restructuring of entities under common control, the accompanying consolidated financial statements have been prepared by using historical cost basis and include the assets, liabilities, revenue, expenses and cash flows that were directly attributable to these entities for all periods presented. The consolidated financial statements have been prepared in accordance with accounting principles generally accepted in the United States of America (“U.S. GAAP”). Certain information and footnote disclosure normally included in annual financial statements prepared in accordance with U.S. GAAP have been condensed or omitted pursuant to such rules and regulations. Accordingly, these interim financial statements should be read in conjunction with the Group’s combined and consolidated financial statements for the years ended September 30, 2023,2024 and 2025.</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val="false"/>
          <w:caps w:val="false"/>
          <w:smallCaps w:val="false"/>
          <w:sz w:val="20"/>
        </w:rPr>
      </w:pPr>
      <w:bookmarkStart w:id="285" w:name="xdx_849_eus-gaap--UseOfEstimates_z6lkKA0"/>
      <w:bookmarkEnd w:id="285"/>
      <w:r>
        <w:rPr>
          <w:rFonts w:ascii="Times New Roman;Times;Serif" w:hAnsi="Times New Roman;Times;Serif"/>
          <w:b/>
          <w:i w:val="false"/>
          <w:caps w:val="false"/>
          <w:smallCaps w:val="false"/>
          <w:sz w:val="20"/>
        </w:rPr>
        <w:t xml:space="preserve">(b) </w:t>
      </w:r>
      <w:bookmarkStart w:id="286" w:name="xdx_869_zAQEo6txuKV6"/>
      <w:bookmarkEnd w:id="286"/>
      <w:r>
        <w:rPr>
          <w:rFonts w:ascii="Times New Roman;Times;Serif" w:hAnsi="Times New Roman;Times;Serif"/>
          <w:b/>
          <w:i/>
          <w:caps w:val="false"/>
          <w:smallCaps w:val="false"/>
          <w:sz w:val="20"/>
        </w:rPr>
        <w:t>Use of estimates</w:t>
      </w:r>
    </w:p>
    <w:p>
      <w:pPr>
        <w:pStyle w:val="TextBody"/>
        <w:bidi w:val="0"/>
        <w:ind w:left="4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at the date of the financial statements and reported amounts of revenues and expenses during the reporting period. Actual results may differ from these estimates. Changes in estimates are recorded in the period they are identified. Significant accounting estimates reflected in the Group’s consolidated financial statements primarily include but not limited to Significant accounting estimates reflected in the Group’s consolidated financial statements include the estimated cost or input measure method used to calculate the revenue recognized in the Group’s, allowance for doubtful accounts and allowance for deferred tax assets and uncertain tax position. Actual results could differ from these estimates.</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bookmarkStart w:id="287" w:name="xdx_84C_eus-gaap--ForeignCurrencyTransac"/>
      <w:bookmarkEnd w:id="287"/>
      <w:r>
        <w:rPr>
          <w:rFonts w:ascii="Times New Roman;Times;Serif" w:hAnsi="Times New Roman;Times;Serif"/>
          <w:b/>
          <w:i/>
          <w:caps w:val="false"/>
          <w:smallCaps w:val="false"/>
          <w:sz w:val="20"/>
        </w:rPr>
        <w:t xml:space="preserve">(c) </w:t>
      </w:r>
      <w:bookmarkStart w:id="288" w:name="xdx_865_z05lrLNtl2B"/>
      <w:bookmarkEnd w:id="288"/>
      <w:r>
        <w:rPr>
          <w:rFonts w:ascii="Times New Roman;Times;Serif" w:hAnsi="Times New Roman;Times;Serif"/>
          <w:b/>
          <w:i/>
          <w:caps w:val="false"/>
          <w:smallCaps w:val="false"/>
          <w:sz w:val="20"/>
        </w:rPr>
        <w:t>Functional currency and foreign currency translation</w:t>
      </w:r>
    </w:p>
    <w:p>
      <w:pPr>
        <w:pStyle w:val="TextBody"/>
        <w:bidi w:val="0"/>
        <w:ind w:left="4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reporting currency is the Renminbi (“RMB”). The functional currency of the Company’s subsidiaries incorporated in PRC is the RMB. The functional currencies of the Company and its subsidiaries incorporated outside the PRC are their respective local currencies.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are translated from each entity’s functional currency to the reporting currency at the exchange rate on the balance sheet date. Equity amounts are translated at historical exchange rates, and revenues, expenses, gains and losses are translated monthly using the exchange rate of the last day of the previous month. Translation adjustments are reported as cumulative translation adjustments and are shown as a separate component of accumulated other comprehensive income in the consolidated statements of changes in shareholders’ equity.</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currencies other than the entity’s applicable functional currencies are translated into the functional currencies at the prevailing rates of exchange at the balance sheet date. Nonmonetary assets and liabilities are re-measured into the applicable functional currencies at historical exchange rates. Transactions in currencies other than the applicable functional currencies during the year are converted into the functional currencies at the applicable rates of exchange prevailing at the transaction dates. Transaction gains and losses are recognized as other income (expense), net, in the consolidated statements of operations.</w:t>
      </w:r>
    </w:p>
    <w:p>
      <w:pPr>
        <w:pStyle w:val="TextBody"/>
        <w:bidi w:val="0"/>
        <w:ind w:left="48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val="false"/>
          <w:caps w:val="false"/>
          <w:smallCaps w:val="false"/>
          <w:sz w:val="20"/>
        </w:rPr>
      </w:pPr>
      <w:bookmarkStart w:id="289" w:name="xdx_844_ecustom--ConvenienceTranslations"/>
      <w:bookmarkEnd w:id="289"/>
      <w:r>
        <w:rPr>
          <w:rFonts w:ascii="Times New Roman;Times;Serif" w:hAnsi="Times New Roman;Times;Serif"/>
          <w:b/>
          <w:i w:val="false"/>
          <w:caps w:val="false"/>
          <w:smallCaps w:val="false"/>
          <w:sz w:val="20"/>
        </w:rPr>
        <w:t xml:space="preserve">(d) </w:t>
      </w:r>
      <w:bookmarkStart w:id="290" w:name="xdx_867_zNbIgWggNbdf"/>
      <w:bookmarkEnd w:id="290"/>
      <w:r>
        <w:rPr>
          <w:rFonts w:ascii="Times New Roman;Times;Serif" w:hAnsi="Times New Roman;Times;Serif"/>
          <w:b/>
          <w:i/>
          <w:caps w:val="false"/>
          <w:smallCaps w:val="false"/>
          <w:sz w:val="20"/>
        </w:rPr>
        <w:t>Convenience translation</w:t>
      </w:r>
    </w:p>
    <w:p>
      <w:pPr>
        <w:pStyle w:val="TextBody"/>
        <w:bidi w:val="0"/>
        <w:ind w:left="4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balances in the consolidated balance sheets, consolidated statements of operations and comprehensive income and consolidated statements of cash flows from RMB into United States dollar (“US$”) as of and for the Six Months Ended March 31, 2026 are solely for the convenience of the readers outside of the People’s Republic of China and were calculated at the rate of US$</w:t>
      </w:r>
      <w:bookmarkStart w:id="291" w:name="xdx_90A_eus-gaap--SaleOfStockPricePerSha"/>
      <w:bookmarkEnd w:id="291"/>
      <w:r>
        <w:rPr>
          <w:rFonts w:ascii="Times New Roman;Times;Serif" w:hAnsi="Times New Roman;Times;Serif"/>
          <w:b w:val="false"/>
          <w:i w:val="false"/>
          <w:caps w:val="false"/>
          <w:smallCaps w:val="false"/>
          <w:sz w:val="20"/>
        </w:rPr>
        <w:t>1.00 for RMB</w:t>
      </w:r>
      <w:bookmarkStart w:id="292" w:name="xdx_901_eus-gaap--ForeignCurrencyExchang"/>
      <w:bookmarkEnd w:id="292"/>
      <w:r>
        <w:rPr>
          <w:rFonts w:ascii="Times New Roman;Times;Serif" w:hAnsi="Times New Roman;Times;Serif"/>
          <w:b w:val="false"/>
          <w:i w:val="false"/>
          <w:caps w:val="false"/>
          <w:smallCaps w:val="false"/>
          <w:sz w:val="20"/>
        </w:rPr>
        <w:t>6.8980, representing the noon buying rate set forth in the H.10 statistical release of the U.S. Federal Reserve Board on March 31, 2026.</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val="false"/>
          <w:caps w:val="false"/>
          <w:smallCaps w:val="false"/>
          <w:sz w:val="20"/>
        </w:rPr>
      </w:pPr>
      <w:bookmarkStart w:id="293" w:name="xdx_84A_eus-gaap--FairValueOfFinancialIn"/>
      <w:bookmarkEnd w:id="293"/>
      <w:r>
        <w:rPr>
          <w:rFonts w:ascii="Times New Roman;Times;Serif" w:hAnsi="Times New Roman;Times;Serif"/>
          <w:b/>
          <w:i w:val="false"/>
          <w:caps w:val="false"/>
          <w:smallCaps w:val="false"/>
          <w:sz w:val="20"/>
        </w:rPr>
        <w:t xml:space="preserve">(e) </w:t>
      </w:r>
      <w:bookmarkStart w:id="294" w:name="xdx_865_zCWQUwXGemsb"/>
      <w:bookmarkEnd w:id="294"/>
      <w:r>
        <w:rPr>
          <w:rFonts w:ascii="Times New Roman;Times;Serif" w:hAnsi="Times New Roman;Times;Serif"/>
          <w:b/>
          <w:i/>
          <w:caps w:val="false"/>
          <w:smallCaps w:val="false"/>
          <w:sz w:val="20"/>
        </w:rPr>
        <w:t>Fair value</w:t>
      </w:r>
    </w:p>
    <w:p>
      <w:pPr>
        <w:pStyle w:val="TextBody"/>
        <w:bidi w:val="0"/>
        <w:ind w:left="4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instrument’s categorization within the fair value hierarchy as established by ASC 820, Fair value measurements and disclosure is based upon the lowest level of input that is significant to the fair value measurement. The established fair value hierarchy has three levels based on the reliability of the inputs used to measure fair value which include: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market-based inputs, other than quoted prices, in active markets for identical assets or liabilities.</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to the valuation methodology that are significant to the measurement of the fair value of the assets or liabilities.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instruments include cash and cash equivalents, accounts receivable, note receivables, payables, related party receivables and related party receivables.</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val="false"/>
          <w:caps w:val="false"/>
          <w:smallCaps w:val="false"/>
          <w:sz w:val="20"/>
        </w:rPr>
      </w:pPr>
      <w:bookmarkStart w:id="295" w:name="xdx_843_eus-gaap--CashAndCashEquivalents"/>
      <w:bookmarkEnd w:id="295"/>
      <w:r>
        <w:rPr>
          <w:rFonts w:ascii="Times New Roman;Times;Serif" w:hAnsi="Times New Roman;Times;Serif"/>
          <w:b/>
          <w:i w:val="false"/>
          <w:caps w:val="false"/>
          <w:smallCaps w:val="false"/>
          <w:sz w:val="20"/>
        </w:rPr>
        <w:t xml:space="preserve">(f) </w:t>
      </w:r>
      <w:bookmarkStart w:id="296" w:name="xdx_861_zCDpD1B2TzC5"/>
      <w:bookmarkEnd w:id="296"/>
      <w:r>
        <w:rPr>
          <w:rFonts w:ascii="Times New Roman;Times;Serif" w:hAnsi="Times New Roman;Times;Serif"/>
          <w:b/>
          <w:i/>
          <w:caps w:val="false"/>
          <w:smallCaps w:val="false"/>
          <w:sz w:val="20"/>
        </w:rPr>
        <w:t>Cash, cash equivalents</w:t>
      </w:r>
    </w:p>
    <w:p>
      <w:pPr>
        <w:pStyle w:val="TextBody"/>
        <w:bidi w:val="0"/>
        <w:ind w:left="4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demand deposits and highly-liquid investments placed with banks, which are unrestricted as to withdrawal and use, and which have original maturities of three months or less.</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bookmarkStart w:id="297" w:name="xdx_840_eus-gaap--CashAndCashEquivalents"/>
      <w:bookmarkEnd w:id="297"/>
      <w:r>
        <w:rPr>
          <w:rFonts w:ascii="Times New Roman;Times;Serif" w:hAnsi="Times New Roman;Times;Serif"/>
          <w:b/>
          <w:i/>
          <w:caps w:val="false"/>
          <w:smallCaps w:val="false"/>
          <w:sz w:val="20"/>
        </w:rPr>
        <w:t xml:space="preserve">(g) </w:t>
      </w:r>
      <w:bookmarkStart w:id="298" w:name="xdx_865_zt8QwzwPP4te"/>
      <w:bookmarkEnd w:id="298"/>
      <w:r>
        <w:rPr>
          <w:rFonts w:ascii="Times New Roman;Times;Serif" w:hAnsi="Times New Roman;Times;Serif"/>
          <w:b/>
          <w:i/>
          <w:caps w:val="false"/>
          <w:smallCaps w:val="false"/>
          <w:sz w:val="20"/>
        </w:rPr>
        <w:t>Restricted Cash</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that is restricted as to withdrawal or is used or pledged as security is reported separately on the face of the Group’s consolidated balance sheets and is included in the total cash in the consolidated statements of cash flows. The Group’s restricted cash mainly represents security deposits held in designated bank accounts for performance of sales contract.</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bookmarkStart w:id="299" w:name="xdx_846_eus-gaap--TradeAndOtherAccountsR"/>
      <w:bookmarkEnd w:id="299"/>
      <w:r>
        <w:rPr>
          <w:rFonts w:ascii="Times New Roman;Times;Serif" w:hAnsi="Times New Roman;Times;Serif"/>
          <w:b/>
          <w:i/>
          <w:caps w:val="false"/>
          <w:smallCaps w:val="false"/>
          <w:sz w:val="20"/>
        </w:rPr>
        <w:t xml:space="preserve">(h) </w:t>
      </w:r>
      <w:bookmarkStart w:id="300" w:name="xdx_866_zBlpAzFWBJa5"/>
      <w:bookmarkEnd w:id="300"/>
      <w:r>
        <w:rPr>
          <w:rFonts w:ascii="Times New Roman;Times;Serif" w:hAnsi="Times New Roman;Times;Serif"/>
          <w:b/>
          <w:i/>
          <w:caps w:val="false"/>
          <w:smallCaps w:val="false"/>
          <w:sz w:val="20"/>
        </w:rPr>
        <w:t>Accounts receivable and allowance for doubtful accounts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mainly consist of amounts due from the Group’s customers, which are recorded net of allowance for doubtful accounts. The Group performs ongoing credit evaluations of its customers, and assesses allowance for doubtful accounts based on expected credit loss model on a portfolio basis. When specific customers are identified as no longer sharing the same risk profile as the current pool, they are removed from the pool and evaluated separately. Accounts receivable are written off when there is no reasonable expectation of recovery.</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elected to early adopt Accounting Standards Update (“ASU”) No. 2016-13, Financial Instruments — Credit Losses (Topic 326): Measurement of Credit Losses on Financial Instruments using the modified retrospective transition method from January 1, 2020. The Group has developed a current expected credit losses (“CECL”) model for class of customers, including our related parties, with similar risk characteristics based on historical experience, credit quality of its customers, current economic conditions and supportable forecasts of future economic conditions that may affect customers’ ability to pay. The cumulative effect from the adoption as of January 1, 2020 was immaterial to the financial statements.</w:t>
      </w:r>
    </w:p>
    <w:p>
      <w:pPr>
        <w:pStyle w:val="TextBody"/>
        <w:bidi w:val="0"/>
        <w:ind w:left="72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bookmarkStart w:id="301" w:name="xdx_84D_eus-gaap--TradeAndOtherAccountsR"/>
      <w:bookmarkEnd w:id="301"/>
      <w:r>
        <w:rPr>
          <w:rFonts w:ascii="Times New Roman;Times;Serif" w:hAnsi="Times New Roman;Times;Serif"/>
          <w:b/>
          <w:i/>
          <w:caps w:val="false"/>
          <w:smallCaps w:val="false"/>
          <w:sz w:val="20"/>
        </w:rPr>
        <w:t xml:space="preserve">(i) </w:t>
      </w:r>
      <w:bookmarkStart w:id="302" w:name="xdx_866_z1mruC3zRk0k"/>
      <w:bookmarkEnd w:id="302"/>
      <w:r>
        <w:rPr>
          <w:rFonts w:ascii="Times New Roman;Times;Serif" w:hAnsi="Times New Roman;Times;Serif"/>
          <w:b/>
          <w:i/>
          <w:caps w:val="false"/>
          <w:smallCaps w:val="false"/>
          <w:sz w:val="20"/>
        </w:rPr>
        <w:t>Unbill receivables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Unbilled receivables represent amounts earned under contracts with customers for which the Group has an unconditional right to consideration as of the reporting date, but for which billing has not yet occurred in accordance with customary billing practices. Such amounts generally arise from timing differences between the recognition of revenue and the issuance of an invoice to the customer.</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bookmarkStart w:id="303" w:name="xdx_845_eus-gaap--RevenueFromContractWit"/>
      <w:bookmarkEnd w:id="303"/>
      <w:r>
        <w:rPr>
          <w:rFonts w:ascii="Times New Roman;Times;Serif" w:hAnsi="Times New Roman;Times;Serif"/>
          <w:b/>
          <w:i/>
          <w:caps w:val="false"/>
          <w:smallCaps w:val="false"/>
          <w:sz w:val="20"/>
        </w:rPr>
        <w:t>(j)</w:t>
      </w:r>
      <w:r>
        <w:rPr>
          <w:rFonts w:ascii="Times New Roman;Times;Serif" w:hAnsi="Times New Roman;Times;Serif"/>
          <w:b w:val="false"/>
          <w:i w:val="false"/>
          <w:caps w:val="false"/>
          <w:smallCaps w:val="false"/>
          <w:sz w:val="20"/>
        </w:rPr>
        <w:t xml:space="preserve"> </w:t>
      </w:r>
      <w:bookmarkStart w:id="304" w:name="xdx_868_zkbnFCX6kcO7"/>
      <w:bookmarkEnd w:id="304"/>
      <w:r>
        <w:rPr>
          <w:rFonts w:ascii="Times New Roman;Times;Serif" w:hAnsi="Times New Roman;Times;Serif"/>
          <w:b/>
          <w:i/>
          <w:caps w:val="false"/>
          <w:smallCaps w:val="false"/>
          <w:sz w:val="20"/>
        </w:rPr>
        <w:t xml:space="preserve">Contract assets and contract Liabilities </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Projects with performance obligations recognized over time that have revenue recognized to date in excess of cumulative billings are reported on our consolidated balance sheets as “contract assets”. Provisions for estimated losses of contract assets on uncompleted contracts are made in the period in which such losses are determined.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having billing terms with the unconditional right to be billed beyond one year are classified as non-current assets.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condition required for a payment to be converted to an accounts receivable under service contract to provide engineering solutions of intelligent projects is that the customer accepts </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the work progress performed by the Group and accepts the invoice issued by the Group.</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frame for a contract asset to be reclassified to a receivable (or consideration from customer becomes unconditional) is between 6 months to 36 months.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on uncompleted contracts represent the amounts of cash collected from clients, billings to clients on contracts in advance of work performed and revenue recognized. Contract assets and liabilities are reported in a net position on a contract-by-contract basis at the end of each reporting period.</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bookmarkStart w:id="305" w:name="xdx_848_eus-gaap--RevenueRecognitionPoli"/>
      <w:bookmarkEnd w:id="305"/>
      <w:r>
        <w:rPr>
          <w:rFonts w:ascii="Times New Roman;Times;Serif" w:hAnsi="Times New Roman;Times;Serif"/>
          <w:b/>
          <w:i/>
          <w:caps w:val="false"/>
          <w:smallCaps w:val="false"/>
          <w:sz w:val="20"/>
        </w:rPr>
        <w:t>(k)</w:t>
      </w:r>
      <w:r>
        <w:rPr>
          <w:rFonts w:ascii="Times New Roman;Times;Serif" w:hAnsi="Times New Roman;Times;Serif"/>
          <w:b w:val="false"/>
          <w:i w:val="false"/>
          <w:caps w:val="false"/>
          <w:smallCaps w:val="false"/>
          <w:sz w:val="20"/>
        </w:rPr>
        <w:t xml:space="preserve"> </w:t>
      </w:r>
      <w:bookmarkStart w:id="306" w:name="xdx_866_zP9axvDPLmcg"/>
      <w:bookmarkEnd w:id="306"/>
      <w:r>
        <w:rPr>
          <w:rFonts w:ascii="Times New Roman;Times;Serif" w:hAnsi="Times New Roman;Times;Serif"/>
          <w:b/>
          <w:i/>
          <w:caps w:val="false"/>
          <w:smallCaps w:val="false"/>
          <w:sz w:val="20"/>
        </w:rPr>
        <w:t>Revenue recognition</w:t>
      </w:r>
    </w:p>
    <w:p>
      <w:pPr>
        <w:pStyle w:val="TextBody"/>
        <w:bidi w:val="0"/>
        <w:ind w:left="48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the Group are primarily derived from providing engineering solutions of intelligent projects, operation and maintenance of intelligent projects, and sales of equipment and materials of intelligent systems.The Group applies ASU 2014-09, Revenue from Contracts with Customers — Topic 606 (“ASC 606”) for its revenue recognition for all periods presented.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provides the benefits received and consumed simultaneously by the customer;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creates and enhances an asset that the customer controls as the Group performs;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create an asset with an alternative use to the Group and the Group has an enforceable right to payment for performance</w:t>
            </w:r>
          </w:p>
        </w:tc>
      </w:tr>
    </w:tbl>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a contract with a customer when the contract is committed in writing, the rights of the parties, including payment terms, are identified, the contract has commercial substance and consideration to collect is substantially probable.</w:t>
      </w:r>
    </w:p>
    <w:p>
      <w:pPr>
        <w:pStyle w:val="TextBody"/>
        <w:bidi w:val="0"/>
        <w:ind w:left="72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customer pays consideration or the Group has a right to an amount of consideration that is unconditional, before the Group transfers a good or service to the customer, the Group presents a contract liability when payment is made or a receivable is recorded (whichever is earlier). A contract liability is the Group’s obligation to transfer goods or services to a customer for which the Group has received consideration (or an amount of consideration is due) from the customer.</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policies for each type of revenue steams are as follows: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Service to provide engineering solutions of intelligent projects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relating to providing engineering solutions of intelligent projects are generally recognized based on the Group’s efforts or inputs to the satisfaction of its performance obligation over time as work progresses because of the continuous transfer of control to the customer and the Group has the right to bill the customer as costs are incurred. Typically, revenue is recognized over time using an input measure (i.e., costs incurred to date relative to total estimated costs at completion) to measure progress. The Group generally uses the cost-to-cost measure of progress method because it best depicts the transfer of control to the customer which occurs as the Group incurs costs on its contracts. Under the cost-to-cost measure of progress method, the extent of progress towards completion is measured based on the ratio of total costs incurred to date to the total estimated costs at completion of the performance obligation. Revenues, including estimated fees or profits, are recorded proportionally as costs are incurred. Any expected losses on this type of contracts in progress are charged to operations, in total, in the period the losses are identified.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contract with the customer has payment terms specified based upon certain conditions. The payment terms usually include, but are not limited to, the following billing stages: 1) signing of the sales contract, 2) quarterly or monthly payment based on progress report agreed by the customer; 3) completion and acceptance of the project, and 4) completion of guarantee period, normally 24 months after completion. As the Group’s customers are required to pay the Group at different billing stages over the contract period, as such, the Group believes the progress payments limit the Group’s exposure to credit risk and the Group would be able to collect substantially all of the consideration gradually at different stages.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satisfaction of our performance obligations is based upon the cost-to-cost measure of progress method, which is generally different than the timing of unconditional right of payment, and is based upon certain conditions completed as specified in the contract. The timing between the satisfaction of our performance obligations and the unconditional right to payment would contribute to contract assets and contract liabilities.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based input methods of revenue recognition require the Group to make estimates of costs to complete its projects. In making such estimates, significant judgment is required to evaluate assumptions related to the costs to complete its projects, including materials, labor, and other costs. The estimate of unit material costs are reviewed and updated on a quarterly basis, based on the updated information available in the supply markets. The estimate of material quantities to be used for completion is also reviewed and updated on a quarterly basis, based on the updated information on the progress of project execution. If the estimated total costs on any contract, including any inefficient costs, are greater than the net contract revenues, the Group recognizes the entire estimated loss in the period the loss becomes known. The cumulative effect of revisions to estimates related to net contract revenues or costs to complete contracts are recorded in the period in which the revisions to estimates are identified and the amounts can be reasonably estimated.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 obligations for returns, refunds or similar obligations for services to provide engineering solutions of intelligent projects,.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the transaction price allocated to the performance obligations for engineering solution service that are partially unsatisfied was RMB</w:t>
      </w:r>
      <w:bookmarkStart w:id="307" w:name="xdx_90B_eus-gaap--RevenueRemainingPerfor"/>
      <w:bookmarkEnd w:id="307"/>
      <w:r>
        <w:rPr>
          <w:rFonts w:ascii="Times New Roman;Times;Serif" w:hAnsi="Times New Roman;Times;Serif"/>
          <w:b w:val="false"/>
          <w:i w:val="false"/>
          <w:caps w:val="false"/>
          <w:smallCaps w:val="false"/>
          <w:sz w:val="20"/>
        </w:rPr>
        <w:t>33,262,734 which is expected to recognize as revenue within 60 months as of March 31, 2026 using an input measure method for the for the engineering solution service.</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Service to provide operation and maintenance of intelligent projects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maintenance type of contracts requires the Group to render routine maintenance on the customers’ various intellectualized systems during the contracted periods, which is generally between one to four years. Revenue generated from services of operation and maintenance of intelligent projects is recognized over the coverage period on a straight-line basis.</w:t>
      </w:r>
    </w:p>
    <w:p>
      <w:pPr>
        <w:pStyle w:val="TextBody"/>
        <w:bidi w:val="0"/>
        <w:jc w:val="left"/>
        <w:rPr>
          <w:caps w:val="false"/>
          <w:smallCaps w:val="false"/>
        </w:rPr>
      </w:pPr>
      <w:r>
        <w:rPr>
          <w:caps w:val="false"/>
          <w:smallCaps w:val="false"/>
        </w:rPr>
        <w:t> </w:t>
      </w:r>
    </w:p>
    <w:p>
      <w:pPr>
        <w:pStyle w:val="TextBody"/>
        <w:bidi w:val="0"/>
        <w:ind w:left="79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Group had system maintenance revenue amounting to RMB</w:t>
      </w:r>
      <w:bookmarkStart w:id="308" w:name="xdx_900_eus-gaap--RevenueRemainingPerfor"/>
      <w:bookmarkEnd w:id="308"/>
      <w:r>
        <w:rPr>
          <w:rFonts w:ascii="Times New Roman;Times;Serif" w:hAnsi="Times New Roman;Times;Serif"/>
          <w:b w:val="false"/>
          <w:i w:val="false"/>
          <w:caps w:val="false"/>
          <w:smallCaps w:val="false"/>
          <w:sz w:val="20"/>
        </w:rPr>
        <w:t>13,523,072 which is expected to be recognized within 36 months from March 31, 2026, all on a straight-line basis.</w:t>
      </w:r>
    </w:p>
    <w:p>
      <w:pPr>
        <w:pStyle w:val="TextBody"/>
        <w:bidi w:val="0"/>
        <w:ind w:left="72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Sales of equipment and materials of intelligent systems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generates revenue from sales of equipment and materials of intelligent systems.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generally require customer acceptance. Thus, the revenue is recognized at point in time upon customer acceptance after goods are delivered to the customers. No product warranty is provided to customers under this type of sales contracts.</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bookmarkStart w:id="309" w:name="xdx_848_eus-gaap--LesseeLeasesPolicyText"/>
      <w:bookmarkEnd w:id="309"/>
      <w:r>
        <w:rPr>
          <w:rFonts w:ascii="Times New Roman;Times;Serif" w:hAnsi="Times New Roman;Times;Serif"/>
          <w:b/>
          <w:i/>
          <w:caps w:val="false"/>
          <w:smallCaps w:val="false"/>
          <w:sz w:val="20"/>
        </w:rPr>
        <w:t>(l)</w:t>
      </w:r>
      <w:r>
        <w:rPr>
          <w:rFonts w:ascii="Times New Roman;Times;Serif" w:hAnsi="Times New Roman;Times;Serif"/>
          <w:b w:val="false"/>
          <w:i w:val="false"/>
          <w:caps w:val="false"/>
          <w:smallCaps w:val="false"/>
          <w:sz w:val="20"/>
        </w:rPr>
        <w:t xml:space="preserve"> </w:t>
      </w:r>
      <w:bookmarkStart w:id="310" w:name="xdx_86B_zNqgaXZRkFz"/>
      <w:bookmarkEnd w:id="310"/>
      <w:r>
        <w:rPr>
          <w:rFonts w:ascii="Times New Roman;Times;Serif" w:hAnsi="Times New Roman;Times;Serif"/>
          <w:b/>
          <w:i/>
          <w:caps w:val="false"/>
          <w:smallCaps w:val="false"/>
          <w:sz w:val="20"/>
        </w:rPr>
        <w:t>Leases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adopted ASC 842, </w:t>
      </w:r>
      <w:r>
        <w:rPr>
          <w:rFonts w:ascii="Times New Roman;Times;Serif" w:hAnsi="Times New Roman;Times;Serif"/>
          <w:b w:val="false"/>
          <w:i/>
          <w:caps w:val="false"/>
          <w:smallCaps w:val="false"/>
          <w:sz w:val="20"/>
        </w:rPr>
        <w:t xml:space="preserve">Leases </w:t>
      </w:r>
      <w:r>
        <w:rPr>
          <w:rFonts w:ascii="Times New Roman;Times;Serif" w:hAnsi="Times New Roman;Times;Serif"/>
          <w:b w:val="false"/>
          <w:i w:val="false"/>
          <w:caps w:val="false"/>
          <w:smallCaps w:val="false"/>
          <w:sz w:val="20"/>
        </w:rPr>
        <w:t>(“ASC 842”) on January 1, 2019, using the modified retrospective transition method and adopted the package of practical expedients, which allowed the Group to (1) not reassess whether existing contracts contain leases, (2) carry forward the existing lease classification, and (3) not reassess initial direct costs associated with existing leases. Upon adoption of ASC 842, the Group elected to use the remaining lease term as of January 1, 2019 in estimation of the applicable discount rate for leases that were in place at adoption.</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whether an agreement constitute a lease upon adoption of ASC 842, the Group reviews the contractual terms to determine which party obtains both the economic benefits and control of the assets at the inception of the contract. The Group categorizes leases with contractual terms longer than twelve months as either operating or finance lease at the commencement date of a lease. All the leases of the group are operating leases. The Group also elected the short-term lease exemption for all contracts with an original lease term of 12 months or less. Lease payments on short-term leases are recognized as an expense on a straight-line basis over the lease term, not included in lease liabilities. The Group’s lease agreements do not contain any significant residual value guarantees or restricted covenants.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sue (“ROU”) assets represent the Group’s right to use an underlying asset for the lease term and lease liabilities represent the Group’s obligation to make lease payments arising from the lease. ROU assets are recognized as the amount of the lease liability, adjusted for lease incentives received. Lease liabilities are recognized at the present value of the future lease payments at the lease commencement date. The discount rate used to determine the present value of the future lease payments is the Group’s incremental borrowing rate (“IBR”) or the rate implicit in the lease if available. The IBR is a hypothetical rate based on the Group’s understanding of what its credit rating would be to borrow and resulting interest the Group would pay to borrow an amount equal to the lease payments in a similar economic environment over the lease term on a collateralized basis. Lease payments may be fixed or variable, however, only fixed payments or in substance fixed payments are included in the Group’s lease liability calculation. Variable lease payments are recognized in operating expenses in the period in which the obligation for those payments are incurred.</w:t>
      </w:r>
    </w:p>
    <w:p>
      <w:pPr>
        <w:pStyle w:val="TextBody"/>
        <w:bidi w:val="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311" w:name="xdx_846_eus-gaap--EarningsPerSharePolicy"/>
      <w:bookmarkEnd w:id="311"/>
      <w:r>
        <w:rPr>
          <w:rFonts w:ascii="Times New Roman;Times;Serif" w:hAnsi="Times New Roman;Times;Serif"/>
          <w:b/>
          <w:i/>
          <w:caps w:val="false"/>
          <w:smallCaps w:val="false"/>
          <w:sz w:val="20"/>
        </w:rPr>
        <w:t>(m)</w:t>
      </w:r>
      <w:r>
        <w:rPr>
          <w:rFonts w:ascii="Times New Roman;Times;Serif" w:hAnsi="Times New Roman;Times;Serif"/>
          <w:b w:val="false"/>
          <w:i w:val="false"/>
          <w:caps w:val="false"/>
          <w:smallCaps w:val="false"/>
          <w:sz w:val="20"/>
        </w:rPr>
        <w:t xml:space="preserve"> </w:t>
      </w:r>
      <w:bookmarkStart w:id="312" w:name="xdx_86F_zJkCYNggeibj"/>
      <w:bookmarkEnd w:id="312"/>
      <w:r>
        <w:rPr>
          <w:rFonts w:ascii="Times New Roman;Times;Serif" w:hAnsi="Times New Roman;Times;Serif"/>
          <w:b/>
          <w:i/>
          <w:caps w:val="false"/>
          <w:smallCaps w:val="false"/>
          <w:sz w:val="20"/>
        </w:rPr>
        <w:t>Income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per share is computed by dividing net income attributable to the holders of shares by the weighted average number of shares outstanding during the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reflect the potential dilution that could occur if securities or other contracts to issue ordinary shares were exercised or converted into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bookmarkStart w:id="313" w:name="xdx_84C_eus-gaap--ComprehensiveIncomePol"/>
      <w:bookmarkEnd w:id="313"/>
      <w:r>
        <w:rPr>
          <w:rFonts w:ascii="Times New Roman;Times;Serif" w:hAnsi="Times New Roman;Times;Serif"/>
          <w:b/>
          <w:i/>
          <w:caps w:val="false"/>
          <w:smallCaps w:val="false"/>
          <w:sz w:val="20"/>
        </w:rPr>
        <w:t>(n)</w:t>
      </w:r>
      <w:r>
        <w:rPr>
          <w:rFonts w:ascii="Times New Roman;Times;Serif" w:hAnsi="Times New Roman;Times;Serif"/>
          <w:b w:val="false"/>
          <w:i w:val="false"/>
          <w:caps w:val="false"/>
          <w:smallCaps w:val="false"/>
          <w:sz w:val="20"/>
        </w:rPr>
        <w:t xml:space="preserve"> </w:t>
      </w:r>
      <w:bookmarkStart w:id="314" w:name="xdx_86F_zLKRrYdcuqr4"/>
      <w:bookmarkEnd w:id="314"/>
      <w:r>
        <w:rPr>
          <w:rFonts w:ascii="Times New Roman;Times;Serif" w:hAnsi="Times New Roman;Times;Serif"/>
          <w:b/>
          <w:i/>
          <w:caps w:val="false"/>
          <w:smallCaps w:val="false"/>
          <w:sz w:val="20"/>
        </w:rPr>
        <w:t>Comprehensive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is defined to include all changes in equity of the Group during a period arising from transactions and other events and circumstances excluding transactions resulting from investments by shareholders and distributions to shareholders. Accumulated other comprehensive income, as presented in the consolidated balance sheets, consists of accumulated foreign currency translation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bookmarkStart w:id="315" w:name="xdx_842_eus-gaap--PriorPeriodReclassific"/>
      <w:bookmarkEnd w:id="315"/>
      <w:r>
        <w:rPr>
          <w:rFonts w:ascii="Times New Roman;Times;Serif" w:hAnsi="Times New Roman;Times;Serif"/>
          <w:b/>
          <w:i/>
          <w:caps w:val="false"/>
          <w:smallCaps w:val="false"/>
          <w:sz w:val="20"/>
        </w:rPr>
        <w:t xml:space="preserve">(o) </w:t>
      </w:r>
      <w:bookmarkStart w:id="316" w:name="xdx_864_zKkJHwgSc9c1"/>
      <w:bookmarkEnd w:id="316"/>
      <w:r>
        <w:rPr>
          <w:rFonts w:ascii="Times New Roman;Times;Serif" w:hAnsi="Times New Roman;Times;Serif"/>
          <w:b/>
          <w:i/>
          <w:caps w:val="false"/>
          <w:smallCaps w:val="false"/>
          <w:sz w:val="20"/>
        </w:rPr>
        <w:t>Reclassifcations</w:t>
      </w:r>
    </w:p>
    <w:p>
      <w:pPr>
        <w:pStyle w:val="TextBody"/>
        <w:bidi w:val="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prior-period condensed consolidated balance sheet have been reclassified to conform to the current-period presentation. The reclassification primarily relates to the presentation of unbilled account receivables, which were previously included in contract asset and are now presented separately as a new line item.</w:t>
      </w:r>
    </w:p>
    <w:p>
      <w:pPr>
        <w:pStyle w:val="TextBody"/>
        <w:bidi w:val="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comparative balance sheet amounts as of September 30, 2025 have been reclassified to conform to the current-period presentation. These reclassifications were made for presentation purposes only and did not affect previously reported total assets, total liabilities, stockholders’ equity, net income, or cash flows.</w:t>
      </w:r>
    </w:p>
    <w:p>
      <w:pPr>
        <w:pStyle w:val="TextBody"/>
        <w:bidi w:val="0"/>
        <w:spacing w:before="0" w:after="0"/>
        <w:ind w:left="720" w:right="0" w:hanging="0"/>
        <w:jc w:val="both"/>
        <w:rPr>
          <w:caps w:val="false"/>
          <w:smallCaps w:val="false"/>
        </w:rPr>
      </w:pPr>
      <w:bookmarkStart w:id="317" w:name="xdx_85D_z9vfKEPMCaGf"/>
      <w:bookmarkEnd w:id="317"/>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85"/>
        <w:gridCol w:w="30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065" w:type="dxa"/>
            <w:tcBorders/>
            <w:vAlign w:val="center"/>
          </w:tcPr>
          <w:p>
            <w:pPr>
              <w:pStyle w:val="TableContents"/>
              <w:bidi w:val="0"/>
              <w:spacing w:before="0" w:after="283"/>
              <w:jc w:val="left"/>
              <w:rPr>
                <w:rFonts w:ascii="Times New Roman;Times;Serif" w:hAnsi="Times New Roman;Times;Serif"/>
                <w:b/>
                <w:sz w:val="20"/>
              </w:rPr>
            </w:pPr>
            <w:bookmarkStart w:id="318" w:name="xdx_826_z5znsdipZ3zc"/>
            <w:bookmarkEnd w:id="318"/>
            <w:r>
              <w:rPr>
                <w:rFonts w:ascii="Times New Roman;Times;Serif" w:hAnsi="Times New Roman;Times;Serif"/>
                <w:b/>
                <w:sz w:val="20"/>
              </w:rPr>
              <w:t xml:space="preserve">Recent accounting pronouncements </w:t>
            </w:r>
          </w:p>
        </w:tc>
      </w:tr>
    </w:tbl>
    <w:p>
      <w:pPr>
        <w:pStyle w:val="TextBody"/>
        <w:shd w:fill="FFFFFF" w:val="clear"/>
        <w:bidi w:val="0"/>
        <w:spacing w:before="0" w:after="0"/>
        <w:ind w:left="490" w:right="0" w:hanging="0"/>
        <w:jc w:val="both"/>
        <w:rPr>
          <w:caps w:val="false"/>
          <w:smallCaps w:val="false"/>
        </w:rPr>
      </w:pPr>
      <w:r>
        <w:rPr>
          <w:caps w:val="false"/>
          <w:smallCaps w:val="false"/>
        </w:rPr>
        <w:t> </w:t>
      </w:r>
    </w:p>
    <w:p>
      <w:pPr>
        <w:pStyle w:val="TextBody"/>
        <w:shd w:fill="FFFFFF" w:val="clear"/>
        <w:bidi w:val="0"/>
        <w:spacing w:before="0" w:after="0"/>
        <w:ind w:left="490" w:right="0" w:hanging="0"/>
        <w:jc w:val="both"/>
        <w:rPr>
          <w:rFonts w:ascii="Times New Roman;Times;Serif" w:hAnsi="Times New Roman;Times;Serif"/>
          <w:b w:val="false"/>
          <w:i/>
          <w:caps w:val="false"/>
          <w:smallCaps w:val="false"/>
          <w:sz w:val="20"/>
          <w:u w:val="single"/>
          <w:shd w:fill="FFFFFF" w:val="clear"/>
        </w:rPr>
      </w:pPr>
      <w:r>
        <w:rPr>
          <w:rFonts w:ascii="Times New Roman;Times;Serif" w:hAnsi="Times New Roman;Times;Serif"/>
          <w:b w:val="false"/>
          <w:i/>
          <w:caps w:val="false"/>
          <w:smallCaps w:val="false"/>
          <w:sz w:val="20"/>
          <w:u w:val="single"/>
          <w:shd w:fill="FFFFFF" w:val="clear"/>
        </w:rPr>
        <w:t>Recently adopted accounting pronouncements</w:t>
      </w:r>
    </w:p>
    <w:p>
      <w:pPr>
        <w:pStyle w:val="TextBody"/>
        <w:shd w:fill="FFFFFF" w:val="clear"/>
        <w:bidi w:val="0"/>
        <w:spacing w:before="0" w:after="0"/>
        <w:ind w:left="480" w:right="0" w:hanging="0"/>
        <w:jc w:val="both"/>
        <w:rPr>
          <w:caps w:val="false"/>
          <w:smallCaps w:val="false"/>
          <w:shd w:fill="FFFFFF" w:val="clear"/>
        </w:rPr>
      </w:pPr>
      <w:r>
        <w:rPr>
          <w:caps w:val="false"/>
          <w:smallCaps w:val="false"/>
          <w:shd w:fill="FFFFFF" w:val="clear"/>
        </w:rPr>
        <w:t> </w:t>
      </w:r>
    </w:p>
    <w:p>
      <w:pPr>
        <w:pStyle w:val="TextBody"/>
        <w:shd w:fill="FFFFFF" w:val="clear"/>
        <w:bidi w:val="0"/>
        <w:spacing w:before="0" w:after="0"/>
        <w:ind w:left="48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December 2023, the FASB issued ASU No. 2023-09, Income Taxes (Topic 740): Improvements to Income Tax Disclosures. The amendments require the disclosure of specific categories in the rate reconciliation and additional information for reconciling items that meet a quantitative threshold. The amendments also require disaggregated information about the amount of income taxes paid (net of refunds received), income (or loss) from continuing operations before income tax expense (or benefit) and income tax expense (or benefit) from continuing operations. The Group adopted this update prospectively on January 1, 2025. The adoption did not have a material impact on the consolidated financial statements.</w:t>
      </w:r>
    </w:p>
    <w:p>
      <w:pPr>
        <w:pStyle w:val="TextBody"/>
        <w:shd w:fill="FFFFFF" w:val="clear"/>
        <w:bidi w:val="0"/>
        <w:spacing w:before="0" w:after="0"/>
        <w:ind w:left="490" w:right="0" w:hanging="0"/>
        <w:jc w:val="both"/>
        <w:rPr>
          <w:caps w:val="false"/>
          <w:smallCaps w:val="false"/>
        </w:rPr>
      </w:pPr>
      <w:r>
        <w:rPr>
          <w:caps w:val="false"/>
          <w:smallCaps w:val="false"/>
        </w:rPr>
        <w:t> </w:t>
      </w:r>
    </w:p>
    <w:p>
      <w:pPr>
        <w:pStyle w:val="TextBody"/>
        <w:shd w:fill="FFFFFF" w:val="clear"/>
        <w:bidi w:val="0"/>
        <w:spacing w:before="0" w:after="0"/>
        <w:ind w:left="490" w:right="0" w:hanging="0"/>
        <w:jc w:val="both"/>
        <w:rPr>
          <w:rFonts w:ascii="Times New Roman;Times;Serif" w:hAnsi="Times New Roman;Times;Serif"/>
          <w:b w:val="false"/>
          <w:i/>
          <w:caps w:val="false"/>
          <w:smallCaps w:val="false"/>
          <w:sz w:val="20"/>
          <w:u w:val="single"/>
          <w:shd w:fill="FFFFFF" w:val="clear"/>
        </w:rPr>
      </w:pPr>
      <w:r>
        <w:rPr>
          <w:rFonts w:ascii="Times New Roman;Times;Serif" w:hAnsi="Times New Roman;Times;Serif"/>
          <w:b w:val="false"/>
          <w:i/>
          <w:caps w:val="false"/>
          <w:smallCaps w:val="false"/>
          <w:sz w:val="20"/>
          <w:u w:val="single"/>
          <w:shd w:fill="FFFFFF" w:val="clear"/>
        </w:rPr>
        <w:t>Recently issued accounting pronouncements not yet adopted</w:t>
      </w:r>
    </w:p>
    <w:p>
      <w:pPr>
        <w:pStyle w:val="TextBody"/>
        <w:shd w:fill="FFFFFF" w:val="clear"/>
        <w:bidi w:val="0"/>
        <w:spacing w:before="0" w:after="0"/>
        <w:ind w:left="480" w:right="0" w:hanging="0"/>
        <w:jc w:val="both"/>
        <w:rPr>
          <w:caps w:val="false"/>
          <w:smallCaps w:val="false"/>
          <w:shd w:fill="FFFFFF" w:val="clear"/>
        </w:rPr>
      </w:pPr>
      <w:r>
        <w:rPr>
          <w:caps w:val="false"/>
          <w:smallCaps w:val="false"/>
          <w:shd w:fill="FFFFFF" w:val="clear"/>
        </w:rPr>
        <w:t> </w:t>
      </w:r>
    </w:p>
    <w:p>
      <w:pPr>
        <w:pStyle w:val="TextBody"/>
        <w:shd w:fill="FFFFFF" w:val="clear"/>
        <w:bidi w:val="0"/>
        <w:spacing w:before="0" w:after="0"/>
        <w:ind w:left="48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periods beginning after December 15, 2026, and interim reporting periods within annual reporting periods beginning after December 15, 2027, with early adoption permitted. This guidance will be applied either prospectively or retrospectively. The Group is currently evaluating the impact that the adoption of these standards will have on the consolidated financial statements.</w:t>
      </w:r>
    </w:p>
    <w:p>
      <w:pPr>
        <w:pStyle w:val="TextBody"/>
        <w:shd w:fill="FFFFFF" w:val="clear"/>
        <w:bidi w:val="0"/>
        <w:spacing w:before="0" w:after="0"/>
        <w:ind w:left="480" w:right="0" w:hanging="0"/>
        <w:jc w:val="both"/>
        <w:rPr>
          <w:caps w:val="false"/>
          <w:smallCaps w:val="false"/>
        </w:rPr>
      </w:pPr>
      <w:r>
        <w:rPr>
          <w:caps w:val="false"/>
          <w:smallCaps w:val="false"/>
        </w:rPr>
        <w:t> </w:t>
      </w:r>
    </w:p>
    <w:p>
      <w:pPr>
        <w:pStyle w:val="TextBody"/>
        <w:shd w:fill="FFFFFF" w:val="clear"/>
        <w:bidi w:val="0"/>
        <w:spacing w:before="0" w:after="0"/>
        <w:ind w:left="48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July 2025, the FASB issued ASU 2025-05, Financial Instruments—Credit Losses (Topic 326): Measurement of Credit Losses for Accounts Receivable and Contract Assets (“ASU 2025-05”). This standard introduces a practical expedient that companies can choose to apply when determining allowances for credit losses. Specifically, it permits companies to assume that the current conditions as of the balance sheet remain unchanged throughout the remaining life of the asset. ASU 2025-05 is effective for annual reporting periods beginning after December 15, 2025, and interim reporting periods within those annual reporting periods, and requires prospective application. The Group does not expect the adoption of the ASU to have a material impact on the consolidated financial statements.</w:t>
      </w:r>
    </w:p>
    <w:p>
      <w:pPr>
        <w:pStyle w:val="TextBody"/>
        <w:shd w:fill="FFFFFF" w:val="clear"/>
        <w:bidi w:val="0"/>
        <w:spacing w:before="0" w:after="0"/>
        <w:ind w:left="480" w:right="0" w:hanging="0"/>
        <w:jc w:val="both"/>
        <w:rPr>
          <w:caps w:val="false"/>
          <w:smallCaps w:val="false"/>
        </w:rPr>
      </w:pPr>
      <w:r>
        <w:rPr>
          <w:caps w:val="false"/>
          <w:smallCaps w:val="false"/>
        </w:rPr>
        <w:t> </w:t>
      </w:r>
    </w:p>
    <w:p>
      <w:pPr>
        <w:pStyle w:val="TextBody"/>
        <w:shd w:fill="FFFFFF" w:val="clear"/>
        <w:bidi w:val="0"/>
        <w:spacing w:before="0" w:after="0"/>
        <w:ind w:left="48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September 2025, the FASB issued ASU 2025-06, Intangibles-Goodwill and Other-Internal Use Software (Subtopic 350-40): Targeted Improvements to the Accounting for Internal-Use Software (“ASU 2025-06”), which removes all references to software development project stages so that the guidance is neutral to different software development methods. Therefore, under ASU 2025-06, software capitalization will begin when management has authorized and committed to funding the software project and when it is probable that the project will be completed and the software will be used to perform the function intended. ASU 2025-06 will be effective for annual reporting periods beginning after December 15, 2027, and interim reporting periods within those annual reporting periods with early adoption permitted. The guidance is to be applied on a prospective basis, or on a modified transition approach or a retrospective transition approach. The Group does not expect the adoption of the ASU to have a material impact on the consolidated financial statements.</w:t>
      </w:r>
    </w:p>
    <w:p>
      <w:pPr>
        <w:pStyle w:val="TextBody"/>
        <w:shd w:fill="FFFFFF" w:val="clear"/>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48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December 2025, the FASB issued ASU 2025-10, Government Grants (Topic 832): Accounting for Government Grants Received by Business Entities (“ASU 2025-10”), which provides updated guidance on how to recognize, measure, and present government grants. The ASU will be effective for annual reporting periods beginning after December 15, 2028, including interim periods within those annual reporting periods, with early adoption permitted. The Group does not expect the adoption of the ASU to have a material impact on the consolidated financial statements.</w:t>
      </w:r>
    </w:p>
    <w:p>
      <w:pPr>
        <w:pStyle w:val="TextBody"/>
        <w:bidi w:val="0"/>
        <w:ind w:left="720" w:right="0" w:hanging="0"/>
        <w:jc w:val="both"/>
        <w:rPr>
          <w:caps w:val="false"/>
          <w:smallCaps w:val="false"/>
        </w:rPr>
      </w:pPr>
      <w:bookmarkStart w:id="319" w:name="xdx_80E_eus-gaap--ConcentrationRiskDiscl"/>
      <w:bookmarkEnd w:id="319"/>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2105" w:type="dxa"/>
            <w:tcBorders/>
            <w:vAlign w:val="center"/>
          </w:tcPr>
          <w:p>
            <w:pPr>
              <w:pStyle w:val="TableContents"/>
              <w:bidi w:val="0"/>
              <w:spacing w:before="0" w:after="283"/>
              <w:jc w:val="left"/>
              <w:rPr>
                <w:rFonts w:ascii="Times New Roman;Times;Serif" w:hAnsi="Times New Roman;Times;Serif"/>
                <w:b/>
                <w:sz w:val="20"/>
              </w:rPr>
            </w:pPr>
            <w:bookmarkStart w:id="320" w:name="xdx_82F_zezr4fCkwh0c"/>
            <w:bookmarkEnd w:id="320"/>
            <w:r>
              <w:rPr>
                <w:rFonts w:ascii="Times New Roman;Times;Serif" w:hAnsi="Times New Roman;Times;Serif"/>
                <w:b/>
                <w:sz w:val="20"/>
              </w:rPr>
              <w:t xml:space="preserve">Concentration and risks </w:t>
            </w:r>
          </w:p>
        </w:tc>
      </w:tr>
    </w:tbl>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Concentration of credit risk</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that potentially subject the Group to significant concentrations of credit risk primarily consist of cash and cash equivalents, restricted cash, accounts receivable and amounts due from related parties. The maximum exposure of such assets to credit risk is their carrying amounts as of the balance sheet dates. All of the Group’s cash and cash equivalents and restricted cash are held with financial institutions that Group’s management believes to be high credit quality. The Group periodically evaluates the creditworthiness of the existing customers in determining an allowance for doubtful accounts primarily based upon the age of the receivables and factors surrounding the credit risk of specific customers.</w:t>
      </w:r>
    </w:p>
    <w:p>
      <w:pPr>
        <w:pStyle w:val="TextBody"/>
        <w:bidi w:val="0"/>
        <w:ind w:left="72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bookmarkStart w:id="321" w:name="xdx_89D_eus-gaap--SchedulesOfConcentrati"/>
      <w:bookmarkEnd w:id="321"/>
      <w:r>
        <w:rPr>
          <w:rFonts w:ascii="Times New Roman;Times;Serif" w:hAnsi="Times New Roman;Times;Serif"/>
          <w:b/>
          <w:i/>
          <w:caps w:val="false"/>
          <w:smallCaps w:val="false"/>
          <w:sz w:val="20"/>
        </w:rPr>
        <w:t>(b) Concentration of customers: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customers accounted for 10% or more of revenue for the six months ended March 31, 2025 and 2026:</w:t>
      </w:r>
    </w:p>
    <w:p>
      <w:pPr>
        <w:pStyle w:val="TextBody"/>
        <w:bidi w:val="0"/>
        <w:ind w:left="720" w:right="0" w:hanging="0"/>
        <w:jc w:val="left"/>
        <w:rPr>
          <w:caps w:val="false"/>
          <w:smallCaps w:val="false"/>
        </w:rPr>
      </w:pPr>
      <w:r>
        <w:rPr>
          <w:caps w:val="false"/>
          <w:smallCaps w:val="false"/>
        </w:rPr>
        <w:t> </w:t>
      </w:r>
      <w:bookmarkStart w:id="322" w:name="xdx_8B6_z5XeLwmIZqS8"/>
      <w:bookmarkEnd w:id="322"/>
      <w:r>
        <w:rPr>
          <w:rFonts w:ascii="Times New Roman;Times;Serif" w:hAnsi="Times New Roman;Times;Serif"/>
          <w:b w:val="false"/>
          <w:i w:val="false"/>
          <w:caps w:val="false"/>
          <w:smallCaps w:val="false"/>
          <w:sz w:val="20"/>
        </w:rPr>
        <w:t>SCHEDULE OF CONCENTRATION OF CREDIT RISK</w:t>
      </w:r>
    </w:p>
    <w:tbl>
      <w:tblPr>
        <w:tblW w:w="4295" w:type="dxa"/>
        <w:jc w:val="left"/>
        <w:tblInd w:w="0" w:type="dxa"/>
        <w:tblLayout w:type="fixed"/>
        <w:tblCellMar>
          <w:top w:w="0" w:type="dxa"/>
          <w:left w:w="0" w:type="dxa"/>
          <w:bottom w:w="0" w:type="dxa"/>
          <w:right w:w="0" w:type="dxa"/>
        </w:tblCellMar>
      </w:tblPr>
      <w:tblGrid>
        <w:gridCol w:w="995"/>
        <w:gridCol w:w="60"/>
        <w:gridCol w:w="60"/>
        <w:gridCol w:w="950"/>
        <w:gridCol w:w="60"/>
        <w:gridCol w:w="60"/>
        <w:gridCol w:w="60"/>
        <w:gridCol w:w="950"/>
        <w:gridCol w:w="60"/>
        <w:gridCol w:w="60"/>
        <w:gridCol w:w="60"/>
        <w:gridCol w:w="845"/>
        <w:gridCol w:w="75"/>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3" w:name="xdx_49F_20241001__20250331__us-gaap--Con"/>
            <w:bookmarkEnd w:id="323"/>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4" w:name="xdx_499_20251001__20260331__us-gaap--Con"/>
            <w:bookmarkEnd w:id="324"/>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March 31,</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325" w:name="xdx_409_eus-gaap--Revenues_hsrt--MajorCu"/>
            <w:bookmarkEnd w:id="325"/>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42,257,767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63,792,598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6" w:name="xdx_982_eus-gaap--Revenues_uUSD_c2025100"/>
            <w:bookmarkEnd w:id="326"/>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9,247,985</w:t>
            </w:r>
          </w:p>
        </w:tc>
        <w:tc>
          <w:tcPr>
            <w:tcW w:w="75" w:type="dxa"/>
            <w:tcBorders/>
            <w:shd w:fill="CCEEFF" w:val="clear"/>
            <w:vAlign w:val="center"/>
          </w:tcPr>
          <w:p>
            <w:pPr>
              <w:pStyle w:val="TableContents"/>
              <w:bidi w:val="0"/>
              <w:spacing w:before="0" w:after="283"/>
              <w:jc w:val="left"/>
              <w:rPr/>
            </w:pPr>
            <w:r>
              <w:rPr/>
              <w:t> </w:t>
            </w:r>
            <w:bookmarkStart w:id="327" w:name="xdx_40D_eus-gaap--Revenues_hsrt--MajorCu"/>
            <w:bookmarkEnd w:id="327"/>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34,440,743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20,577,998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8" w:name="xdx_982_eus-gaap--Revenues_uUSD_c2025100"/>
            <w:bookmarkEnd w:id="328"/>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2,983,183</w:t>
            </w:r>
          </w:p>
        </w:tc>
        <w:tc>
          <w:tcPr>
            <w:tcW w:w="75" w:type="dxa"/>
            <w:tcBorders/>
            <w:shd w:fill="FFFFFF" w:val="clear"/>
            <w:vAlign w:val="center"/>
          </w:tcPr>
          <w:p>
            <w:pPr>
              <w:pStyle w:val="TableContents"/>
              <w:bidi w:val="0"/>
              <w:spacing w:before="0" w:after="283"/>
              <w:jc w:val="left"/>
              <w:rPr/>
            </w:pPr>
            <w:r>
              <w:rPr/>
              <w:t> </w:t>
            </w:r>
            <w:bookmarkStart w:id="329" w:name="xdx_40A_eus-gaap--Revenues_hsrt--MajorCu"/>
            <w:bookmarkEnd w:id="329"/>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rFonts w:ascii="Times New Roman;Times;Serif" w:hAnsi="Times New Roman;Times;Serif"/>
                <w:sz w:val="20"/>
              </w:rPr>
              <w:t>-</w:t>
            </w:r>
            <w:bookmarkStart w:id="330" w:name="xdx_F2D_zIXt2sI4WgZh"/>
            <w:bookmarkEnd w:id="330"/>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17,033,418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1" w:name="xdx_983_eus-gaap--Revenues_uUSD_c2025100"/>
            <w:bookmarkEnd w:id="331"/>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2,469,327</w:t>
            </w:r>
          </w:p>
        </w:tc>
        <w:tc>
          <w:tcPr>
            <w:tcW w:w="75" w:type="dxa"/>
            <w:tcBorders/>
            <w:shd w:fill="CCEEFF" w:val="clear"/>
            <w:vAlign w:val="center"/>
          </w:tcPr>
          <w:p>
            <w:pPr>
              <w:pStyle w:val="TableContents"/>
              <w:bidi w:val="0"/>
              <w:spacing w:before="0" w:after="283"/>
              <w:jc w:val="left"/>
              <w:rPr/>
            </w:pPr>
            <w:r>
              <w:rPr/>
              <w:t> </w:t>
            </w:r>
            <w:bookmarkStart w:id="332" w:name="xdx_403_eus-gaap--Revenues_uUSD_hsrt--Ma"/>
            <w:bookmarkEnd w:id="332"/>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10,051,313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bookmarkStart w:id="333" w:name="xdx_F20_z0tWafz0lg8"/>
            <w:bookmarkEnd w:id="333"/>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bookmarkStart w:id="334" w:name="xdx_902_eus-gaap--Revenues_uUSD_c2025100"/>
            <w:bookmarkEnd w:id="334"/>
            <w:r>
              <w:rPr>
                <w:rFonts w:ascii="Times New Roman;Times;Serif" w:hAnsi="Times New Roman;Times;Serif"/>
                <w:sz w:val="20"/>
              </w:rPr>
              <w:t>-</w:t>
            </w:r>
            <w:r>
              <w:rPr>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customers accounted for 10% or more of the Group’s accounts receivable and amounts due from related parties as of September 30, 2025 and March 31, 2026:</w:t>
      </w:r>
    </w:p>
    <w:p>
      <w:pPr>
        <w:pStyle w:val="TextBody"/>
        <w:bidi w:val="0"/>
        <w:ind w:left="720" w:right="0" w:hanging="0"/>
        <w:jc w:val="both"/>
        <w:rPr>
          <w:caps w:val="false"/>
          <w:smallCaps w:val="false"/>
        </w:rPr>
      </w:pPr>
      <w:r>
        <w:rPr>
          <w:caps w:val="false"/>
          <w:smallCaps w:val="false"/>
        </w:rPr>
        <w:t> </w:t>
      </w:r>
    </w:p>
    <w:tbl>
      <w:tblPr>
        <w:tblW w:w="4714" w:type="dxa"/>
        <w:jc w:val="left"/>
        <w:tblInd w:w="0" w:type="dxa"/>
        <w:tblLayout w:type="fixed"/>
        <w:tblCellMar>
          <w:top w:w="0" w:type="dxa"/>
          <w:left w:w="0" w:type="dxa"/>
          <w:bottom w:w="0" w:type="dxa"/>
          <w:right w:w="0" w:type="dxa"/>
        </w:tblCellMar>
      </w:tblPr>
      <w:tblGrid>
        <w:gridCol w:w="995"/>
        <w:gridCol w:w="60"/>
        <w:gridCol w:w="109"/>
        <w:gridCol w:w="1575"/>
        <w:gridCol w:w="60"/>
        <w:gridCol w:w="60"/>
        <w:gridCol w:w="60"/>
        <w:gridCol w:w="845"/>
        <w:gridCol w:w="60"/>
        <w:gridCol w:w="60"/>
        <w:gridCol w:w="60"/>
        <w:gridCol w:w="695"/>
        <w:gridCol w:w="75"/>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5" w:name="xdx_491_20250930__us-gaap--Concentration"/>
            <w:bookmarkEnd w:id="335"/>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6" w:name="xdx_496_20260331__us-gaap--Concentration"/>
            <w:bookmarkEnd w:id="336"/>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337" w:name="xdx_400_eus-gaap--AccountsReceivableNetC"/>
            <w:bookmarkEnd w:id="337"/>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A</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6,237,484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3,139,888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8" w:name="xdx_980_eus-gaap--AccountsReceivableNetC"/>
            <w:bookmarkEnd w:id="338"/>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455,188</w:t>
            </w:r>
          </w:p>
        </w:tc>
        <w:tc>
          <w:tcPr>
            <w:tcW w:w="75" w:type="dxa"/>
            <w:tcBorders/>
            <w:shd w:fill="CCEEFF" w:val="clear"/>
            <w:vAlign w:val="center"/>
          </w:tcPr>
          <w:p>
            <w:pPr>
              <w:pStyle w:val="TableContents"/>
              <w:bidi w:val="0"/>
              <w:spacing w:before="0" w:after="283"/>
              <w:jc w:val="left"/>
              <w:rPr/>
            </w:pPr>
            <w:r>
              <w:rPr/>
              <w:t> </w:t>
            </w:r>
            <w:bookmarkStart w:id="339" w:name="xdx_409_eus-gaap--AccountsReceivableNetC"/>
            <w:bookmarkEnd w:id="339"/>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B</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sz w:val="20"/>
              </w:rPr>
            </w:pPr>
            <w:r>
              <w:rPr>
                <w:rFonts w:ascii="Times New Roman;Times;Serif" w:hAnsi="Times New Roman;Times;Serif"/>
                <w:sz w:val="20"/>
              </w:rPr>
              <w:t>-</w:t>
            </w:r>
            <w:bookmarkStart w:id="340" w:name="xdx_F2C_zr6IgZHjn9Dg"/>
            <w:bookmarkEnd w:id="340"/>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1,141,440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1" w:name="xdx_98C_eus-gaap--AccountsReceivableNetC"/>
            <w:bookmarkEnd w:id="34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165,474</w:t>
            </w:r>
          </w:p>
        </w:tc>
        <w:tc>
          <w:tcPr>
            <w:tcW w:w="75" w:type="dxa"/>
            <w:tcBorders/>
            <w:shd w:fill="FFFFFF" w:val="clear"/>
            <w:vAlign w:val="center"/>
          </w:tcPr>
          <w:p>
            <w:pPr>
              <w:pStyle w:val="TableContents"/>
              <w:bidi w:val="0"/>
              <w:spacing w:before="0" w:after="283"/>
              <w:jc w:val="left"/>
              <w:rPr/>
            </w:pPr>
            <w:r>
              <w:rPr/>
              <w:t> </w:t>
            </w:r>
            <w:bookmarkStart w:id="342" w:name="xdx_404_eus-gaap--AccountsReceivableNetC"/>
            <w:bookmarkEnd w:id="342"/>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C</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3,486,135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1,105,933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3" w:name="xdx_988_eus-gaap--AccountsReceivableNetC"/>
            <w:bookmarkEnd w:id="343"/>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160,327</w:t>
            </w:r>
          </w:p>
        </w:tc>
        <w:tc>
          <w:tcPr>
            <w:tcW w:w="75" w:type="dxa"/>
            <w:tcBorders/>
            <w:shd w:fill="CCEEFF" w:val="clear"/>
            <w:vAlign w:val="center"/>
          </w:tcPr>
          <w:p>
            <w:pPr>
              <w:pStyle w:val="TableContents"/>
              <w:bidi w:val="0"/>
              <w:spacing w:before="0" w:after="283"/>
              <w:jc w:val="left"/>
              <w:rPr/>
            </w:pPr>
            <w:r>
              <w:rPr/>
              <w:t> </w:t>
            </w:r>
            <w:bookmarkStart w:id="344" w:name="xdx_40D_eus-gaap--AccountsReceivableNetC"/>
            <w:bookmarkEnd w:id="344"/>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D</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5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3,177,983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rFonts w:ascii="Times New Roman;Times;Serif" w:hAnsi="Times New Roman;Times;Serif"/>
                <w:sz w:val="20"/>
              </w:rPr>
              <w:t>-</w:t>
            </w:r>
            <w:r>
              <w:rPr>
                <w:sz w:val="20"/>
              </w:rPr>
              <w:t> </w:t>
            </w:r>
            <w:bookmarkStart w:id="345" w:name="xdx_F2B_zTyDYFw7AEVa"/>
            <w:bookmarkEnd w:id="345"/>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bookmarkStart w:id="346" w:name="xdx_90D_eus-gaap--AccountsReceivableNetC"/>
            <w:bookmarkEnd w:id="346"/>
            <w:r>
              <w:rPr>
                <w:rFonts w:ascii="Times New Roman;Times;Serif" w:hAnsi="Times New Roman;Times;Serif"/>
                <w:sz w:val="20"/>
              </w:rPr>
              <w:t>- </w:t>
            </w:r>
            <w:r>
              <w:rPr>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Concentration of suppliers</w:t>
      </w:r>
    </w:p>
    <w:p>
      <w:pPr>
        <w:pStyle w:val="TextBody"/>
        <w:bidi w:val="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suppliers represent more than 10% of the Group’s total purchases for the six months ended March 31, 2025 and 2026:</w:t>
      </w:r>
    </w:p>
    <w:p>
      <w:pPr>
        <w:pStyle w:val="TextBody"/>
        <w:bidi w:val="0"/>
        <w:ind w:left="720" w:right="0" w:hanging="0"/>
        <w:jc w:val="both"/>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905"/>
        <w:gridCol w:w="60"/>
        <w:gridCol w:w="60"/>
        <w:gridCol w:w="950"/>
        <w:gridCol w:w="60"/>
        <w:gridCol w:w="60"/>
        <w:gridCol w:w="60"/>
        <w:gridCol w:w="950"/>
        <w:gridCol w:w="60"/>
        <w:gridCol w:w="60"/>
        <w:gridCol w:w="60"/>
        <w:gridCol w:w="845"/>
        <w:gridCol w:w="75"/>
      </w:tblGrid>
      <w:tr>
        <w:trPr/>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7" w:name="xdx_495_20241001__20250331__us-gaap--Con"/>
            <w:bookmarkEnd w:id="347"/>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2_20251001__20260331__us-gaap--Con"/>
            <w:bookmarkEnd w:id="348"/>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March 31,</w:t>
            </w:r>
          </w:p>
        </w:tc>
        <w:tc>
          <w:tcPr>
            <w:tcW w:w="7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349" w:name="xdx_403_ecustom--ConcentrationOfSupplier"/>
            <w:bookmarkEnd w:id="349"/>
          </w:p>
        </w:tc>
      </w:tr>
      <w:tr>
        <w:trPr/>
        <w:tc>
          <w:tcPr>
            <w:tcW w:w="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18,600,197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10,409,641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0" w:name="xdx_98C_ecustom--ConcentrationOfSupplier"/>
            <w:bookmarkEnd w:id="350"/>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1,509,081</w:t>
            </w:r>
          </w:p>
        </w:tc>
        <w:tc>
          <w:tcPr>
            <w:tcW w:w="75" w:type="dxa"/>
            <w:tcBorders/>
            <w:shd w:fill="CCEEFF" w:val="clear"/>
            <w:vAlign w:val="center"/>
          </w:tcPr>
          <w:p>
            <w:pPr>
              <w:pStyle w:val="TableContents"/>
              <w:bidi w:val="0"/>
              <w:spacing w:before="0" w:after="283"/>
              <w:jc w:val="left"/>
              <w:rPr/>
            </w:pPr>
            <w:r>
              <w:rPr/>
              <w:t> </w:t>
            </w:r>
            <w:bookmarkStart w:id="351" w:name="xdx_406_ecustom--ConcentrationOfSupplier"/>
            <w:bookmarkEnd w:id="351"/>
          </w:p>
        </w:tc>
      </w:tr>
      <w:tr>
        <w:trPr/>
        <w:tc>
          <w:tcPr>
            <w:tcW w:w="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10,377,124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rFonts w:ascii="Times New Roman;Times;Serif" w:hAnsi="Times New Roman;Times;Serif"/>
                <w:sz w:val="20"/>
              </w:rPr>
              <w:t>-</w:t>
            </w:r>
            <w:r>
              <w:rPr>
                <w:sz w:val="20"/>
              </w:rPr>
              <w:t> </w:t>
            </w:r>
            <w:bookmarkStart w:id="352" w:name="xdx_F24_zntY9lHY4qka"/>
            <w:bookmarkEnd w:id="352"/>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bookmarkStart w:id="353" w:name="xdx_90D_ecustom--ConcentrationOfSupplier"/>
            <w:bookmarkEnd w:id="353"/>
            <w:r>
              <w:rPr>
                <w:rFonts w:ascii="Times New Roman;Times;Serif" w:hAnsi="Times New Roman;Times;Serif"/>
                <w:sz w:val="20"/>
              </w:rPr>
              <w:t>-</w:t>
            </w:r>
            <w:r>
              <w:rPr>
                <w:sz w:val="20"/>
              </w:rPr>
              <w:t>*</w:t>
            </w:r>
          </w:p>
        </w:tc>
        <w:tc>
          <w:tcPr>
            <w:tcW w:w="75" w:type="dxa"/>
            <w:tcBorders/>
            <w:shd w:fill="FFFFFF" w:val="clear"/>
            <w:vAlign w:val="center"/>
          </w:tcPr>
          <w:p>
            <w:pPr>
              <w:pStyle w:val="TableContents"/>
              <w:bidi w:val="0"/>
              <w:spacing w:before="0" w:after="283"/>
              <w:jc w:val="left"/>
              <w:rPr/>
            </w:pPr>
            <w:r>
              <w:rPr/>
              <w:t> </w:t>
            </w:r>
            <w:bookmarkStart w:id="354" w:name="xdx_408_ecustom--ConcentrationOfSupplier"/>
            <w:bookmarkEnd w:id="354"/>
          </w:p>
        </w:tc>
      </w:tr>
      <w:tr>
        <w:trPr/>
        <w:tc>
          <w:tcPr>
            <w:tcW w:w="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 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7,641,441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rFonts w:ascii="Times New Roman;Times;Serif" w:hAnsi="Times New Roman;Times;Serif"/>
                <w:sz w:val="20"/>
              </w:rPr>
              <w:t>-</w:t>
            </w:r>
            <w:r>
              <w:rPr>
                <w:sz w:val="20"/>
              </w:rPr>
              <w:t> </w:t>
            </w:r>
            <w:bookmarkStart w:id="355" w:name="xdx_F2A_z8yxtkkPha39"/>
            <w:bookmarkEnd w:id="355"/>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bookmarkStart w:id="356" w:name="xdx_90A_ecustom--ConcentrationOfSupplier"/>
            <w:bookmarkEnd w:id="356"/>
            <w:r>
              <w:rPr>
                <w:rFonts w:ascii="Times New Roman;Times;Serif" w:hAnsi="Times New Roman;Times;Serif"/>
                <w:sz w:val="20"/>
              </w:rPr>
              <w:t>-</w:t>
            </w: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140"/>
        <w:gridCol w:w="23"/>
        <w:gridCol w:w="209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357" w:name="xdx_F04_z5CMZH4m08e5"/>
            <w:bookmarkEnd w:id="357"/>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both"/>
              <w:rPr>
                <w:rFonts w:ascii="Times New Roman;Times;Serif" w:hAnsi="Times New Roman;Times;Serif"/>
                <w:sz w:val="20"/>
              </w:rPr>
            </w:pPr>
            <w:bookmarkStart w:id="358" w:name="xdx_F1E_zftNuamXmJrg"/>
            <w:bookmarkEnd w:id="358"/>
            <w:r>
              <w:rPr>
                <w:rFonts w:ascii="Times New Roman;Times;Serif" w:hAnsi="Times New Roman;Times;Serif"/>
                <w:sz w:val="20"/>
              </w:rPr>
              <w:t>Represents less than 10%</w:t>
            </w:r>
          </w:p>
        </w:tc>
      </w:tr>
    </w:tbl>
    <w:p>
      <w:pPr>
        <w:pStyle w:val="TextBody"/>
        <w:bidi w:val="0"/>
        <w:jc w:val="both"/>
        <w:rPr>
          <w:caps w:val="false"/>
          <w:smallCaps w:val="false"/>
        </w:rPr>
      </w:pPr>
      <w:bookmarkStart w:id="359" w:name="xdx_8AA_zlewdaQ7HN3h"/>
      <w:bookmarkEnd w:id="359"/>
      <w:r>
        <w:rPr>
          <w:caps w:val="false"/>
          <w:smallCaps w:val="false"/>
        </w:rPr>
        <w:t> </w:t>
      </w:r>
    </w:p>
    <w:p>
      <w:pPr>
        <w:pStyle w:val="TextBody"/>
        <w:bidi w:val="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Foreign currency risk</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Currency convertibility risk</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RMB is not a freely convertible currency. The State Administration for Foreign Exchange, under the authority of the People’s Bank of China, regulates the conversion of RMB into other currencies. The value of the RMB is subject to changes in central government policies, international economic and political developments affecting supply and demand in the China Foreign Exchange Trading System market. As of September 30, 2025 and March 31, 2026, the Group has cash and cash equivalents and time deposits that are denominated in US$, totaling US$</w:t>
      </w:r>
      <w:bookmarkStart w:id="360" w:name="xdx_90C_ecustom--CashAndCashEquivalentsA"/>
      <w:bookmarkEnd w:id="360"/>
      <w:r>
        <w:rPr>
          <w:rFonts w:ascii="Times New Roman;Times;Serif" w:hAnsi="Times New Roman;Times;Serif"/>
          <w:b w:val="false"/>
          <w:i w:val="false"/>
          <w:caps w:val="false"/>
          <w:smallCaps w:val="false"/>
          <w:sz w:val="20"/>
        </w:rPr>
        <w:t>4,994,550 and, US$</w:t>
      </w:r>
      <w:bookmarkStart w:id="361" w:name="xdx_900_ecustom--CashAndCashEquivalentsA"/>
      <w:bookmarkEnd w:id="361"/>
      <w:r>
        <w:rPr>
          <w:rFonts w:ascii="Times New Roman;Times;Serif" w:hAnsi="Times New Roman;Times;Serif"/>
          <w:b w:val="false"/>
          <w:i w:val="false"/>
          <w:caps w:val="false"/>
          <w:smallCaps w:val="false"/>
          <w:sz w:val="20"/>
        </w:rPr>
        <w:t>1,705,697, respectively.</w:t>
      </w:r>
    </w:p>
    <w:p>
      <w:pPr>
        <w:pStyle w:val="TextBody"/>
        <w:bidi w:val="0"/>
        <w:ind w:left="720" w:right="0" w:hanging="0"/>
        <w:jc w:val="both"/>
        <w:rPr>
          <w:caps w:val="false"/>
          <w:smallCaps w:val="false"/>
        </w:rPr>
      </w:pPr>
      <w:bookmarkStart w:id="362" w:name="xdx_809_eus-gaap--AccountsAndNontradeRec"/>
      <w:bookmarkEnd w:id="362"/>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2930" w:type="dxa"/>
            <w:tcBorders/>
            <w:vAlign w:val="center"/>
          </w:tcPr>
          <w:p>
            <w:pPr>
              <w:pStyle w:val="TableContents"/>
              <w:bidi w:val="0"/>
              <w:spacing w:before="0" w:after="283"/>
              <w:jc w:val="left"/>
              <w:rPr>
                <w:rFonts w:ascii="Times New Roman;Times;Serif" w:hAnsi="Times New Roman;Times;Serif"/>
                <w:b/>
                <w:sz w:val="20"/>
              </w:rPr>
            </w:pPr>
            <w:bookmarkStart w:id="363" w:name="xdx_824_zKYx0Hciilhc"/>
            <w:bookmarkEnd w:id="363"/>
            <w:r>
              <w:rPr>
                <w:rFonts w:ascii="Times New Roman;Times;Serif" w:hAnsi="Times New Roman;Times;Serif"/>
                <w:b/>
                <w:sz w:val="20"/>
              </w:rPr>
              <w:t>ACCOUNTS RECEIVABLE, NET</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364" w:name="xdx_89B_eus-gaap--AccountsReceivableAllo"/>
      <w:bookmarkEnd w:id="364"/>
      <w:r>
        <w:rPr>
          <w:rFonts w:ascii="Times New Roman;Times;Serif" w:hAnsi="Times New Roman;Times;Serif"/>
          <w:b w:val="false"/>
          <w:i w:val="false"/>
          <w:caps w:val="false"/>
          <w:smallCaps w:val="false"/>
          <w:sz w:val="20"/>
        </w:rPr>
        <w:t>Accounts receivable and allowance for doubtful accounts as of September 30, 2025 and March 31, 2026 are as follows:</w:t>
      </w:r>
    </w:p>
    <w:p>
      <w:pPr>
        <w:pStyle w:val="TextBody"/>
        <w:bidi w:val="0"/>
        <w:jc w:val="center"/>
        <w:rPr>
          <w:rFonts w:ascii="Times New Roman;Times;Serif" w:hAnsi="Times New Roman;Times;Serif"/>
          <w:b w:val="false"/>
          <w:i w:val="false"/>
          <w:caps w:val="false"/>
          <w:smallCaps w:val="false"/>
          <w:sz w:val="20"/>
        </w:rPr>
      </w:pPr>
      <w:bookmarkStart w:id="365" w:name="xdx_8BC_znp5RaRMiksb"/>
      <w:bookmarkEnd w:id="365"/>
      <w:r>
        <w:rPr>
          <w:rFonts w:ascii="Times New Roman;Times;Serif" w:hAnsi="Times New Roman;Times;Serif"/>
          <w:b w:val="false"/>
          <w:i w:val="false"/>
          <w:caps w:val="false"/>
          <w:smallCaps w:val="false"/>
          <w:sz w:val="20"/>
        </w:rPr>
        <w:t>SCHEDULE OF ACCOUNTS RECEIVABLE AND ALLOWANCE FOR DOUBTFUL ACCOUNTS </w:t>
      </w:r>
    </w:p>
    <w:tbl>
      <w:tblPr>
        <w:tblW w:w="7039" w:type="dxa"/>
        <w:jc w:val="left"/>
        <w:tblInd w:w="0" w:type="dxa"/>
        <w:tblLayout w:type="fixed"/>
        <w:tblCellMar>
          <w:top w:w="0" w:type="dxa"/>
          <w:left w:w="0" w:type="dxa"/>
          <w:bottom w:w="0" w:type="dxa"/>
          <w:right w:w="0" w:type="dxa"/>
        </w:tblCellMar>
      </w:tblPr>
      <w:tblGrid>
        <w:gridCol w:w="3110"/>
        <w:gridCol w:w="60"/>
        <w:gridCol w:w="100"/>
        <w:gridCol w:w="1584"/>
        <w:gridCol w:w="80"/>
        <w:gridCol w:w="60"/>
        <w:gridCol w:w="60"/>
        <w:gridCol w:w="845"/>
        <w:gridCol w:w="80"/>
        <w:gridCol w:w="60"/>
        <w:gridCol w:w="60"/>
        <w:gridCol w:w="845"/>
        <w:gridCol w:w="95"/>
      </w:tblGrid>
      <w:tr>
        <w:trPr/>
        <w:tc>
          <w:tcPr>
            <w:tcW w:w="31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66" w:name="xdx_498_20250930_zEFW7riiLggc"/>
            <w:bookmarkEnd w:id="366"/>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7" w:name="xdx_495_20260331_zXWv0mDjIWih"/>
            <w:bookmarkEnd w:id="367"/>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left"/>
              <w:rPr/>
            </w:pPr>
            <w:r>
              <w:rPr/>
              <w:t> </w:t>
            </w:r>
            <w:bookmarkStart w:id="368" w:name="xdx_40E_eus-gaap--AccountsReceivableGros"/>
            <w:bookmarkEnd w:id="368"/>
          </w:p>
        </w:tc>
      </w:tr>
      <w:tr>
        <w:trPr/>
        <w:tc>
          <w:tcPr>
            <w:tcW w:w="31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14,815,743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8,186,367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9" w:name="xdx_98E_eus-gaap--AccountsReceivableGros"/>
            <w:bookmarkEnd w:id="36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1,186,774</w:t>
            </w:r>
          </w:p>
        </w:tc>
        <w:tc>
          <w:tcPr>
            <w:tcW w:w="95" w:type="dxa"/>
            <w:tcBorders/>
            <w:shd w:fill="CCEEFF" w:val="clear"/>
            <w:vAlign w:val="center"/>
          </w:tcPr>
          <w:p>
            <w:pPr>
              <w:pStyle w:val="TableContents"/>
              <w:bidi w:val="0"/>
              <w:spacing w:before="0" w:after="283"/>
              <w:jc w:val="left"/>
              <w:rPr/>
            </w:pPr>
            <w:r>
              <w:rPr/>
              <w:t> </w:t>
            </w:r>
            <w:bookmarkStart w:id="370" w:name="xdx_40B_eus-gaap--AllowanceForDoubtfulAc"/>
            <w:bookmarkEnd w:id="370"/>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allowance for doubtful accounts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5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71" w:name="xdx_980_eus-gaap--AllowanceForDoubtfulAc"/>
            <w:bookmarkEnd w:id="371"/>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(8,128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2" w:name="xdx_40D_eus-gaap--AccountsReceivableNetC"/>
            <w:bookmarkEnd w:id="372"/>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14,723,857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8,130,297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73" w:name="xdx_98D_eus-gaap--AccountsReceivableNetC"/>
            <w:bookmarkEnd w:id="373"/>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1,178,646</w:t>
            </w:r>
          </w:p>
        </w:tc>
        <w:tc>
          <w:tcPr>
            <w:tcW w:w="9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374" w:name="xdx_8A3_zYBclZb7DhZk"/>
      <w:bookmarkEnd w:id="374"/>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375" w:name="xdx_89D_ecustom--ScheduleOfAllowanceForD"/>
      <w:bookmarkEnd w:id="375"/>
      <w:r>
        <w:rPr>
          <w:rFonts w:ascii="Times New Roman;Times;Serif" w:hAnsi="Times New Roman;Times;Serif"/>
          <w:b w:val="false"/>
          <w:i w:val="false"/>
          <w:caps w:val="false"/>
          <w:smallCaps w:val="false"/>
          <w:sz w:val="20"/>
        </w:rPr>
        <w:t>The roll-forward of the allowance for doubtful accounts related to accounts receivable for the year ended September 30, 2025 and for the six months ended March 31, 2026 were as follows:</w:t>
      </w:r>
    </w:p>
    <w:p>
      <w:pPr>
        <w:pStyle w:val="TextBody"/>
        <w:bidi w:val="0"/>
        <w:ind w:left="720" w:right="0" w:hanging="0"/>
        <w:jc w:val="both"/>
        <w:rPr>
          <w:caps w:val="false"/>
          <w:smallCaps w:val="false"/>
        </w:rPr>
      </w:pPr>
      <w:r>
        <w:rPr>
          <w:caps w:val="false"/>
          <w:smallCaps w:val="false"/>
        </w:rPr>
        <w:t> </w:t>
      </w:r>
      <w:bookmarkStart w:id="376" w:name="xdx_8BE_zv4PEkZna6x5"/>
      <w:bookmarkEnd w:id="376"/>
      <w:r>
        <w:rPr>
          <w:rFonts w:ascii="Times New Roman;Times;Serif" w:hAnsi="Times New Roman;Times;Serif"/>
          <w:b w:val="false"/>
          <w:i w:val="false"/>
          <w:caps w:val="false"/>
          <w:smallCaps w:val="false"/>
          <w:sz w:val="20"/>
        </w:rPr>
        <w:t>SCHEDULE OF ALLOWANCE FOR DOUBTFUL ACCOUNTS RELATED TO ACCOUNTS RECEIVABLE</w:t>
      </w:r>
    </w:p>
    <w:tbl>
      <w:tblPr>
        <w:tblW w:w="8645" w:type="dxa"/>
        <w:jc w:val="left"/>
        <w:tblInd w:w="0" w:type="dxa"/>
        <w:tblLayout w:type="fixed"/>
        <w:tblCellMar>
          <w:top w:w="0" w:type="dxa"/>
          <w:left w:w="0" w:type="dxa"/>
          <w:bottom w:w="0" w:type="dxa"/>
          <w:right w:w="0" w:type="dxa"/>
        </w:tblCellMar>
      </w:tblPr>
      <w:tblGrid>
        <w:gridCol w:w="4550"/>
        <w:gridCol w:w="60"/>
        <w:gridCol w:w="122"/>
        <w:gridCol w:w="1562"/>
        <w:gridCol w:w="80"/>
        <w:gridCol w:w="60"/>
        <w:gridCol w:w="84"/>
        <w:gridCol w:w="918"/>
        <w:gridCol w:w="113"/>
        <w:gridCol w:w="84"/>
        <w:gridCol w:w="84"/>
        <w:gridCol w:w="833"/>
        <w:gridCol w:w="9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7" w:name="xdx_491_20241001__20250930_zrZDFTVeCGd3"/>
            <w:bookmarkEnd w:id="377"/>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8" w:name="xdx_491_20251001__20260331_zrBQxfbS7Jj9"/>
            <w:bookmarkEnd w:id="378"/>
          </w:p>
        </w:tc>
        <w:tc>
          <w:tcPr>
            <w:tcW w:w="100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1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1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year ended </w:t>
              <w:br/>
              <w:t>September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For the six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p>
        </w:tc>
        <w:tc>
          <w:tcPr>
            <w:tcW w:w="9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11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1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left"/>
              <w:rPr/>
            </w:pPr>
            <w:r>
              <w:rPr/>
              <w:t> </w:t>
            </w:r>
            <w:bookmarkStart w:id="379" w:name="xdx_40B_eus-gaap--AllowanceForDoubtfulAc"/>
            <w:bookmarkEnd w:id="379"/>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Beginning of the year/period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91,886</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380" w:name="xdx_98D_eus-gaap--AllowanceForDoubtfulAc"/>
            <w:bookmarkEnd w:id="380"/>
          </w:p>
        </w:tc>
        <w:tc>
          <w:tcPr>
            <w:tcW w:w="8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13,321</w:t>
            </w:r>
          </w:p>
        </w:tc>
        <w:tc>
          <w:tcPr>
            <w:tcW w:w="95" w:type="dxa"/>
            <w:tcBorders/>
            <w:shd w:fill="CCEEFF" w:val="clear"/>
            <w:vAlign w:val="center"/>
          </w:tcPr>
          <w:p>
            <w:pPr>
              <w:pStyle w:val="TableContents"/>
              <w:bidi w:val="0"/>
              <w:spacing w:before="0" w:after="283"/>
              <w:jc w:val="left"/>
              <w:rPr/>
            </w:pPr>
            <w:r>
              <w:rPr/>
              <w:t> </w:t>
            </w:r>
            <w:bookmarkStart w:id="381" w:name="xdx_40F_eus-gaap--AllowanceForDoubtfulAc"/>
            <w:bookmarkEnd w:id="381"/>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(Reversal) provision of allowance for doubtful accounts</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(549,215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(35,816</w:t>
            </w:r>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82" w:name="xdx_980_eus-gaap--AllowanceForDoubtfulAc"/>
            <w:bookmarkEnd w:id="382"/>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3" w:name="xdx_406_eus-gaap--AllowanceForDoubtfulAc"/>
            <w:bookmarkEnd w:id="383"/>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End of the year/period</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91,886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56,070</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84" w:name="xdx_983_eus-gaap--AllowanceForDoubtfulAc"/>
            <w:bookmarkEnd w:id="384"/>
          </w:p>
        </w:tc>
        <w:tc>
          <w:tcPr>
            <w:tcW w:w="8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8,128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385" w:name="xdx_8A2_zu45IJycV2k8"/>
      <w:bookmarkEnd w:id="385"/>
      <w:r>
        <w:rPr/>
        <w:t> </w:t>
      </w:r>
    </w:p>
    <w:p>
      <w:pPr>
        <w:pStyle w:val="TextBody"/>
        <w:bidi w:val="0"/>
        <w:spacing w:before="0" w:after="0"/>
        <w:jc w:val="left"/>
        <w:rPr/>
      </w:pPr>
      <w:bookmarkStart w:id="386" w:name="xdx_802_ecustom--UnbilledAccountsReceiva"/>
      <w:bookmarkEnd w:id="386"/>
      <w:r>
        <w:rPr/>
        <w:t> </w:t>
      </w:r>
    </w:p>
    <w:tbl>
      <w:tblPr>
        <w:tblW w:w="3175" w:type="dxa"/>
        <w:jc w:val="left"/>
        <w:tblInd w:w="0" w:type="dxa"/>
        <w:tblLayout w:type="fixed"/>
        <w:tblCellMar>
          <w:top w:w="0" w:type="dxa"/>
          <w:left w:w="0" w:type="dxa"/>
          <w:bottom w:w="0" w:type="dxa"/>
          <w:right w:w="0" w:type="dxa"/>
        </w:tblCellMar>
      </w:tblPr>
      <w:tblGrid>
        <w:gridCol w:w="185"/>
        <w:gridCol w:w="299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87" w:name="xdx_82B_z3k1FJ40QYng"/>
            <w:bookmarkEnd w:id="387"/>
            <w:r>
              <w:rPr>
                <w:rFonts w:ascii="Times New Roman;Times;Serif" w:hAnsi="Times New Roman;Times;Serif"/>
                <w:b/>
                <w:i w:val="false"/>
                <w:caps w:val="false"/>
                <w:smallCaps w:val="false"/>
                <w:sz w:val="20"/>
              </w:rPr>
              <w:t>UNBILLED RECEIVABLES, NET</w:t>
            </w:r>
          </w:p>
        </w:tc>
      </w:tr>
    </w:tbl>
    <w:p>
      <w:pPr>
        <w:pStyle w:val="TextBody"/>
        <w:bidi w:val="0"/>
        <w:jc w:val="center"/>
        <w:rPr>
          <w:caps w:val="false"/>
          <w:smallCaps w:val="false"/>
        </w:rPr>
      </w:pPr>
      <w:bookmarkStart w:id="388" w:name="xdx_891_ecustom--ScheduleofUnbilledRecei"/>
      <w:bookmarkEnd w:id="388"/>
      <w:r>
        <w:rPr>
          <w:caps w:val="false"/>
          <w:smallCaps w:val="false"/>
        </w:rPr>
        <w:t> </w:t>
      </w:r>
      <w:bookmarkStart w:id="389" w:name="xdx_8B1_zt5hnfD6Boff"/>
      <w:bookmarkEnd w:id="389"/>
      <w:r>
        <w:rPr>
          <w:rFonts w:ascii="Times New Roman;Times;Serif" w:hAnsi="Times New Roman;Times;Serif"/>
          <w:b w:val="false"/>
          <w:i w:val="false"/>
          <w:caps w:val="false"/>
          <w:smallCaps w:val="false"/>
          <w:sz w:val="20"/>
        </w:rPr>
        <w:t>SCHEDULE OF UNBILLED RECEIVABLES, NET</w:t>
      </w:r>
    </w:p>
    <w:tbl>
      <w:tblPr>
        <w:tblW w:w="10205" w:type="dxa"/>
        <w:jc w:val="left"/>
        <w:tblInd w:w="0" w:type="dxa"/>
        <w:tblLayout w:type="fixed"/>
        <w:tblCellMar>
          <w:top w:w="0" w:type="dxa"/>
          <w:left w:w="0" w:type="dxa"/>
          <w:bottom w:w="0" w:type="dxa"/>
          <w:right w:w="0" w:type="dxa"/>
        </w:tblCellMar>
      </w:tblPr>
      <w:tblGrid>
        <w:gridCol w:w="5268"/>
        <w:gridCol w:w="60"/>
        <w:gridCol w:w="94"/>
        <w:gridCol w:w="1922"/>
        <w:gridCol w:w="95"/>
        <w:gridCol w:w="60"/>
        <w:gridCol w:w="60"/>
        <w:gridCol w:w="1220"/>
        <w:gridCol w:w="95"/>
        <w:gridCol w:w="60"/>
        <w:gridCol w:w="60"/>
        <w:gridCol w:w="1100"/>
        <w:gridCol w:w="111"/>
      </w:tblGrid>
      <w:tr>
        <w:trPr/>
        <w:tc>
          <w:tcPr>
            <w:tcW w:w="52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0" w:name="xdx_497_20250930_zCBSoYPrtrSb"/>
            <w:bookmarkEnd w:id="390"/>
          </w:p>
        </w:tc>
        <w:tc>
          <w:tcPr>
            <w:tcW w:w="2016"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1" w:name="xdx_498_20260331_zU5PyWZzkOS1"/>
            <w:bookmarkEnd w:id="391"/>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USD</w:t>
            </w:r>
          </w:p>
        </w:tc>
        <w:tc>
          <w:tcPr>
            <w:tcW w:w="111" w:type="dxa"/>
            <w:tcBorders/>
            <w:vAlign w:val="center"/>
          </w:tcPr>
          <w:p>
            <w:pPr>
              <w:pStyle w:val="TableContents"/>
              <w:bidi w:val="0"/>
              <w:spacing w:before="0" w:after="283"/>
              <w:jc w:val="center"/>
              <w:rPr/>
            </w:pPr>
            <w:r>
              <w:rPr/>
              <w:t> </w:t>
            </w:r>
          </w:p>
        </w:tc>
      </w:tr>
      <w:tr>
        <w:trPr/>
        <w:tc>
          <w:tcPr>
            <w:tcW w:w="52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September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 2026</w:t>
            </w:r>
          </w:p>
        </w:tc>
        <w:tc>
          <w:tcPr>
            <w:tcW w:w="111" w:type="dxa"/>
            <w:tcBorders/>
            <w:vAlign w:val="center"/>
          </w:tcPr>
          <w:p>
            <w:pPr>
              <w:pStyle w:val="TableContents"/>
              <w:bidi w:val="0"/>
              <w:spacing w:before="0" w:after="283"/>
              <w:jc w:val="center"/>
              <w:rPr/>
            </w:pPr>
            <w:r>
              <w:rPr/>
              <w:t> </w:t>
            </w:r>
          </w:p>
        </w:tc>
      </w:tr>
      <w:tr>
        <w:trPr/>
        <w:tc>
          <w:tcPr>
            <w:tcW w:w="52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16"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USD</w:t>
            </w:r>
          </w:p>
        </w:tc>
        <w:tc>
          <w:tcPr>
            <w:tcW w:w="111" w:type="dxa"/>
            <w:tcBorders/>
            <w:vAlign w:val="center"/>
          </w:tcPr>
          <w:p>
            <w:pPr>
              <w:pStyle w:val="TableContents"/>
              <w:bidi w:val="0"/>
              <w:spacing w:before="0" w:after="283"/>
              <w:jc w:val="center"/>
              <w:rPr/>
            </w:pPr>
            <w:r>
              <w:rPr/>
              <w:t> </w:t>
            </w:r>
          </w:p>
        </w:tc>
      </w:tr>
      <w:tr>
        <w:trPr/>
        <w:tc>
          <w:tcPr>
            <w:tcW w:w="5268" w:type="dxa"/>
            <w:tcBorders/>
            <w:shd w:fill="CCEEFF" w:val="clear"/>
            <w:vAlign w:val="center"/>
          </w:tcPr>
          <w:p>
            <w:pPr>
              <w:pStyle w:val="TableContents"/>
              <w:bidi w:val="0"/>
              <w:spacing w:before="0" w:after="283"/>
              <w:jc w:val="left"/>
              <w:rPr/>
            </w:pPr>
            <w:r>
              <w:rPr/>
              <w:t>Unbilled receivables, net: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392" w:name="xdx_401_ecustom--RevenueRecognizedInExce"/>
            <w:bookmarkEnd w:id="392"/>
          </w:p>
        </w:tc>
      </w:tr>
      <w:tr>
        <w:trPr/>
        <w:tc>
          <w:tcPr>
            <w:tcW w:w="5268" w:type="dxa"/>
            <w:tcBorders/>
            <w:shd w:fill="FFFFFF" w:val="clear"/>
            <w:vAlign w:val="center"/>
          </w:tcPr>
          <w:p>
            <w:pPr>
              <w:pStyle w:val="TableContents"/>
              <w:bidi w:val="0"/>
              <w:spacing w:before="0" w:after="283"/>
              <w:jc w:val="left"/>
              <w:rPr/>
            </w:pPr>
            <w:r>
              <w:rPr/>
              <w:t>Revenue recognized in excess of amounts paid or billed (account receivable) to the Group</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pPr>
            <w:r>
              <w:rPr/>
              <w:t>246,333,632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309,350,780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3" w:name="xdx_987_ecustom--RevenueRecognizedInExce"/>
            <w:bookmarkEnd w:id="393"/>
          </w:p>
        </w:tc>
        <w:tc>
          <w:tcPr>
            <w:tcW w:w="1100" w:type="dxa"/>
            <w:tcBorders/>
            <w:shd w:fill="FFFFFF" w:val="clear"/>
            <w:vAlign w:val="center"/>
          </w:tcPr>
          <w:p>
            <w:pPr>
              <w:pStyle w:val="TableContents"/>
              <w:bidi w:val="0"/>
              <w:spacing w:before="0" w:after="283"/>
              <w:jc w:val="right"/>
              <w:rPr/>
            </w:pPr>
            <w:r>
              <w:rPr/>
              <w:t>44,846,445</w:t>
            </w:r>
          </w:p>
        </w:tc>
        <w:tc>
          <w:tcPr>
            <w:tcW w:w="111" w:type="dxa"/>
            <w:tcBorders/>
            <w:shd w:fill="FFFFFF" w:val="clear"/>
            <w:vAlign w:val="center"/>
          </w:tcPr>
          <w:p>
            <w:pPr>
              <w:pStyle w:val="TableContents"/>
              <w:bidi w:val="0"/>
              <w:spacing w:before="0" w:after="283"/>
              <w:jc w:val="left"/>
              <w:rPr/>
            </w:pPr>
            <w:r>
              <w:rPr/>
              <w:t> </w:t>
            </w:r>
          </w:p>
        </w:tc>
      </w:tr>
      <w:tr>
        <w:trPr/>
        <w:tc>
          <w:tcPr>
            <w:tcW w:w="5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22"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11" w:type="dxa"/>
            <w:tcBorders/>
            <w:shd w:fill="CCEEFF" w:val="clear"/>
            <w:vAlign w:val="center"/>
          </w:tcPr>
          <w:p>
            <w:pPr>
              <w:pStyle w:val="TableContents"/>
              <w:bidi w:val="0"/>
              <w:spacing w:before="0" w:after="283"/>
              <w:jc w:val="left"/>
              <w:rPr/>
            </w:pPr>
            <w:r>
              <w:rPr/>
              <w:t> </w:t>
            </w:r>
            <w:bookmarkStart w:id="394" w:name="xdx_40D_ecustom--AllowanceForDoubtfulAcc"/>
            <w:bookmarkEnd w:id="394"/>
          </w:p>
        </w:tc>
      </w:tr>
      <w:tr>
        <w:trPr/>
        <w:tc>
          <w:tcPr>
            <w:tcW w:w="5268" w:type="dxa"/>
            <w:tcBorders/>
            <w:shd w:fill="FFFFFF" w:val="clear"/>
            <w:vAlign w:val="center"/>
          </w:tcPr>
          <w:p>
            <w:pPr>
              <w:pStyle w:val="TableContents"/>
              <w:bidi w:val="0"/>
              <w:spacing w:before="0" w:after="283"/>
              <w:jc w:val="left"/>
              <w:rPr/>
            </w:pPr>
            <w:r>
              <w:rPr/>
              <w:t>Less: allowance for credit loss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22" w:type="dxa"/>
            <w:tcBorders/>
            <w:shd w:fill="FFFFFF" w:val="clear"/>
            <w:vAlign w:val="center"/>
          </w:tcPr>
          <w:p>
            <w:pPr>
              <w:pStyle w:val="TableContents"/>
              <w:bidi w:val="0"/>
              <w:spacing w:before="0" w:after="283"/>
              <w:jc w:val="right"/>
              <w:rPr/>
            </w:pPr>
            <w:r>
              <w:rPr/>
              <w:t>(4,267,547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(5,457,002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5" w:name="xdx_987_ecustom--AllowanceForDoubtfulAcc"/>
            <w:bookmarkEnd w:id="395"/>
          </w:p>
        </w:tc>
        <w:tc>
          <w:tcPr>
            <w:tcW w:w="1100" w:type="dxa"/>
            <w:tcBorders/>
            <w:shd w:fill="FFFFFF" w:val="clear"/>
            <w:vAlign w:val="center"/>
          </w:tcPr>
          <w:p>
            <w:pPr>
              <w:pStyle w:val="TableContents"/>
              <w:bidi w:val="0"/>
              <w:spacing w:before="0" w:after="283"/>
              <w:jc w:val="right"/>
              <w:rPr/>
            </w:pPr>
            <w:r>
              <w:rPr/>
              <w:t>(791,099</w:t>
            </w:r>
          </w:p>
        </w:tc>
        <w:tc>
          <w:tcPr>
            <w:tcW w:w="111" w:type="dxa"/>
            <w:tcBorders/>
            <w:shd w:fill="FFFFFF" w:val="clear"/>
            <w:vAlign w:val="center"/>
          </w:tcPr>
          <w:p>
            <w:pPr>
              <w:pStyle w:val="TableContents"/>
              <w:bidi w:val="0"/>
              <w:spacing w:before="0" w:after="283"/>
              <w:jc w:val="left"/>
              <w:rPr/>
            </w:pPr>
            <w:r>
              <w:rPr/>
              <w:t>)</w:t>
            </w:r>
            <w:bookmarkStart w:id="396" w:name="xdx_40D_eus-gaap--UnbilledReceivablesCur"/>
            <w:bookmarkEnd w:id="396"/>
          </w:p>
        </w:tc>
      </w:tr>
      <w:tr>
        <w:trPr/>
        <w:tc>
          <w:tcPr>
            <w:tcW w:w="5268"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2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242,066,085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303,893,778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97" w:name="xdx_988_eus-gaap--UnbilledReceivablesCur"/>
            <w:bookmarkEnd w:id="39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44,055,346</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398" w:name="xdx_8AB_zq0cVfpCMRta"/>
      <w:bookmarkEnd w:id="398"/>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399" w:name="xdx_89E_ecustom--ScheduleOfAllowanceForC"/>
      <w:bookmarkEnd w:id="399"/>
      <w:r>
        <w:rPr>
          <w:rFonts w:ascii="Times New Roman;Times;Serif" w:hAnsi="Times New Roman;Times;Serif"/>
          <w:b w:val="false"/>
          <w:i w:val="false"/>
          <w:caps w:val="false"/>
          <w:smallCaps w:val="false"/>
          <w:sz w:val="20"/>
        </w:rPr>
        <w:t>The movements in the allowance for credit loss related to unbilled receivables for the year ended September 30, 2025 and for the six months ended March 31, 2026 were as follows:</w:t>
      </w:r>
    </w:p>
    <w:p>
      <w:pPr>
        <w:pStyle w:val="TextBody"/>
        <w:bidi w:val="0"/>
        <w:spacing w:before="0" w:after="0"/>
        <w:ind w:left="720" w:right="0" w:hanging="0"/>
        <w:jc w:val="both"/>
        <w:rPr>
          <w:caps w:val="false"/>
          <w:smallCaps w:val="false"/>
        </w:rPr>
      </w:pPr>
      <w:r>
        <w:rPr>
          <w:caps w:val="false"/>
          <w:smallCaps w:val="false"/>
        </w:rPr>
        <w:t> </w:t>
      </w:r>
      <w:bookmarkStart w:id="400" w:name="xdx_8BD_zRSLN2QTz4L3"/>
      <w:bookmarkEnd w:id="400"/>
      <w:r>
        <w:rPr>
          <w:rFonts w:ascii="Times New Roman;Times;Serif" w:hAnsi="Times New Roman;Times;Serif"/>
          <w:b w:val="false"/>
          <w:i w:val="false"/>
          <w:caps w:val="false"/>
          <w:smallCaps w:val="false"/>
          <w:sz w:val="20"/>
        </w:rPr>
        <w:t>SCHEDULE OF ALLOWANCE FOR CREDIT LOSS RELATED TO UNBILLED RECEIVABLES</w:t>
      </w:r>
    </w:p>
    <w:tbl>
      <w:tblPr>
        <w:tblW w:w="7809" w:type="dxa"/>
        <w:jc w:val="left"/>
        <w:tblInd w:w="0" w:type="dxa"/>
        <w:tblLayout w:type="fixed"/>
        <w:tblCellMar>
          <w:top w:w="0" w:type="dxa"/>
          <w:left w:w="0" w:type="dxa"/>
          <w:bottom w:w="0" w:type="dxa"/>
          <w:right w:w="0" w:type="dxa"/>
        </w:tblCellMar>
      </w:tblPr>
      <w:tblGrid>
        <w:gridCol w:w="3755"/>
        <w:gridCol w:w="60"/>
        <w:gridCol w:w="97"/>
        <w:gridCol w:w="1587"/>
        <w:gridCol w:w="60"/>
        <w:gridCol w:w="60"/>
        <w:gridCol w:w="62"/>
        <w:gridCol w:w="1028"/>
        <w:gridCol w:w="62"/>
        <w:gridCol w:w="62"/>
        <w:gridCol w:w="62"/>
        <w:gridCol w:w="839"/>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1" w:name="xdx_490_20241001__20250930_zzoqh2ICdBO6"/>
            <w:bookmarkEnd w:id="401"/>
          </w:p>
        </w:tc>
        <w:tc>
          <w:tcPr>
            <w:tcW w:w="168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2" w:name="xdx_499_20251001__20260331_zC3MiPQvU0f5"/>
            <w:bookmarkEnd w:id="402"/>
          </w:p>
        </w:tc>
        <w:tc>
          <w:tcPr>
            <w:tcW w:w="1090" w:type="dxa"/>
            <w:gridSpan w:val="2"/>
            <w:tcBorders/>
            <w:vAlign w:val="center"/>
          </w:tcPr>
          <w:p>
            <w:pPr>
              <w:pStyle w:val="TableContents"/>
              <w:bidi w:val="0"/>
              <w:spacing w:before="0" w:after="283"/>
              <w:jc w:val="center"/>
              <w:rPr>
                <w:b/>
              </w:rPr>
            </w:pPr>
            <w:r>
              <w:rPr>
                <w:b/>
              </w:rPr>
              <w:t>RMB</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01"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b/>
              </w:rPr>
            </w:pPr>
            <w:r>
              <w:rPr>
                <w:b/>
              </w:rPr>
              <w:t>RMB</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01"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bookmarkStart w:id="403" w:name="xdx_405_ecustom--AllowanceForDoubtfulAcc"/>
            <w:bookmarkEnd w:id="403"/>
          </w:p>
        </w:tc>
      </w:tr>
      <w:tr>
        <w:trPr/>
        <w:tc>
          <w:tcPr>
            <w:tcW w:w="3755" w:type="dxa"/>
            <w:tcBorders/>
            <w:shd w:fill="CCEEFF" w:val="clear"/>
            <w:vAlign w:val="center"/>
          </w:tcPr>
          <w:p>
            <w:pPr>
              <w:pStyle w:val="TableContents"/>
              <w:bidi w:val="0"/>
              <w:spacing w:before="0" w:after="283"/>
              <w:jc w:val="left"/>
              <w:rPr/>
            </w:pPr>
            <w:r>
              <w:rPr/>
              <w:t>Balance at beginning of the year/period</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2,292,498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4,267,547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bookmarkStart w:id="404" w:name="xdx_985_ecustom--AllowanceForDoubtfulAcc"/>
            <w:bookmarkEnd w:id="404"/>
          </w:p>
        </w:tc>
        <w:tc>
          <w:tcPr>
            <w:tcW w:w="839" w:type="dxa"/>
            <w:tcBorders/>
            <w:shd w:fill="CCEEFF" w:val="clear"/>
            <w:vAlign w:val="center"/>
          </w:tcPr>
          <w:p>
            <w:pPr>
              <w:pStyle w:val="TableContents"/>
              <w:bidi w:val="0"/>
              <w:spacing w:before="0" w:after="283"/>
              <w:jc w:val="right"/>
              <w:rPr/>
            </w:pPr>
            <w:r>
              <w:rPr/>
              <w:t>618,664</w:t>
            </w:r>
          </w:p>
        </w:tc>
        <w:tc>
          <w:tcPr>
            <w:tcW w:w="75" w:type="dxa"/>
            <w:tcBorders/>
            <w:shd w:fill="CCEEFF" w:val="clear"/>
            <w:vAlign w:val="center"/>
          </w:tcPr>
          <w:p>
            <w:pPr>
              <w:pStyle w:val="TableContents"/>
              <w:bidi w:val="0"/>
              <w:spacing w:before="0" w:after="283"/>
              <w:jc w:val="left"/>
              <w:rPr/>
            </w:pPr>
            <w:r>
              <w:rPr/>
              <w:t> </w:t>
            </w:r>
            <w:bookmarkStart w:id="405" w:name="xdx_405_ecustom--AllowanceForDoubtfulAcc"/>
            <w:bookmarkEnd w:id="405"/>
          </w:p>
        </w:tc>
      </w:tr>
      <w:tr>
        <w:trPr/>
        <w:tc>
          <w:tcPr>
            <w:tcW w:w="375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8" w:space="0" w:color="000000"/>
            </w:tcBorders>
            <w:shd w:fill="FFFFFF" w:val="clear"/>
            <w:tcMar>
              <w:bottom w:w="28" w:type="dxa"/>
            </w:tcMar>
            <w:vAlign w:val="center"/>
          </w:tcPr>
          <w:p>
            <w:pPr>
              <w:pStyle w:val="TableContents"/>
              <w:bidi w:val="0"/>
              <w:spacing w:before="0" w:after="283"/>
              <w:jc w:val="right"/>
              <w:rPr/>
            </w:pPr>
            <w:r>
              <w:rPr/>
              <w:t>1,975,049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1,189,455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6" w:name="xdx_983_ecustom--AllowanceForDoubtfulAcc"/>
            <w:bookmarkEnd w:id="406"/>
          </w:p>
        </w:tc>
        <w:tc>
          <w:tcPr>
            <w:tcW w:w="839" w:type="dxa"/>
            <w:tcBorders>
              <w:bottom w:val="single" w:sz="8" w:space="0" w:color="000000"/>
            </w:tcBorders>
            <w:shd w:fill="FFFFFF" w:val="clear"/>
            <w:tcMar>
              <w:bottom w:w="28" w:type="dxa"/>
            </w:tcMar>
            <w:vAlign w:val="center"/>
          </w:tcPr>
          <w:p>
            <w:pPr>
              <w:pStyle w:val="TableContents"/>
              <w:bidi w:val="0"/>
              <w:spacing w:before="0" w:after="283"/>
              <w:jc w:val="right"/>
              <w:rPr/>
            </w:pPr>
            <w:r>
              <w:rPr/>
              <w:t>172,435</w:t>
            </w:r>
          </w:p>
        </w:tc>
        <w:tc>
          <w:tcPr>
            <w:tcW w:w="75" w:type="dxa"/>
            <w:tcBorders/>
            <w:shd w:fill="FFFFFF" w:val="clear"/>
            <w:vAlign w:val="center"/>
          </w:tcPr>
          <w:p>
            <w:pPr>
              <w:pStyle w:val="TableContents"/>
              <w:bidi w:val="0"/>
              <w:spacing w:before="0" w:after="283"/>
              <w:jc w:val="left"/>
              <w:rPr/>
            </w:pPr>
            <w:r>
              <w:rPr/>
              <w:t> </w:t>
            </w:r>
            <w:bookmarkStart w:id="407" w:name="xdx_40A_ecustom--AllowanceForDoubtfulAcc"/>
            <w:bookmarkEnd w:id="407"/>
          </w:p>
        </w:tc>
      </w:tr>
      <w:tr>
        <w:trPr/>
        <w:tc>
          <w:tcPr>
            <w:tcW w:w="3755" w:type="dxa"/>
            <w:tcBorders/>
            <w:shd w:fill="CCEEFF" w:val="clear"/>
            <w:vAlign w:val="center"/>
          </w:tcPr>
          <w:p>
            <w:pPr>
              <w:pStyle w:val="TableContents"/>
              <w:bidi w:val="0"/>
              <w:spacing w:before="0" w:after="283"/>
              <w:jc w:val="left"/>
              <w:rPr>
                <w:b/>
              </w:rPr>
            </w:pPr>
            <w:r>
              <w:rPr>
                <w:b/>
              </w:rPr>
              <w:t>Balance at end of the year/period</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4,267,547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5,457,002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08" w:name="xdx_985_ecustom--AllowanceForDoubtfulAcc"/>
            <w:bookmarkEnd w:id="408"/>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791,099</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hanging="0"/>
        <w:jc w:val="left"/>
        <w:rPr>
          <w:caps w:val="false"/>
          <w:smallCaps w:val="false"/>
        </w:rPr>
      </w:pPr>
      <w:bookmarkStart w:id="409" w:name="xdx_8AB_zpXaxPhXENE3"/>
      <w:bookmarkEnd w:id="409"/>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II-13</w:t>
            </w:r>
          </w:p>
        </w:tc>
      </w:tr>
    </w:tbl>
    <w:p>
      <w:pPr>
        <w:pStyle w:val="TextBody"/>
        <w:bidi w:val="0"/>
        <w:spacing w:before="0" w:after="0"/>
        <w:ind w:left="0" w:right="0" w:hanging="0"/>
        <w:jc w:val="left"/>
        <w:rPr/>
      </w:pPr>
      <w:r>
        <w:rPr/>
        <w:t> </w:t>
      </w:r>
    </w:p>
    <w:p>
      <w:pPr>
        <w:pStyle w:val="TextBody"/>
        <w:bidi w:val="0"/>
        <w:jc w:val="left"/>
        <w:rPr>
          <w:caps w:val="false"/>
          <w:smallCaps w:val="false"/>
        </w:rPr>
      </w:pPr>
      <w:bookmarkStart w:id="410" w:name="xdx_805_ecustom--ContractWithCustomerAss"/>
      <w:bookmarkEnd w:id="410"/>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185"/>
        <w:gridCol w:w="47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4790" w:type="dxa"/>
            <w:tcBorders/>
            <w:vAlign w:val="center"/>
          </w:tcPr>
          <w:p>
            <w:pPr>
              <w:pStyle w:val="TableContents"/>
              <w:bidi w:val="0"/>
              <w:spacing w:before="0" w:after="283"/>
              <w:jc w:val="left"/>
              <w:rPr>
                <w:sz w:val="20"/>
              </w:rPr>
            </w:pPr>
            <w:bookmarkStart w:id="411" w:name="xdx_823_zrWxTRdQmUo2"/>
            <w:bookmarkEnd w:id="411"/>
            <w:r>
              <w:rPr>
                <w:rFonts w:ascii="Times New Roman;Times;Serif" w:hAnsi="Times New Roman;Times;Serif"/>
                <w:b/>
                <w:sz w:val="20"/>
              </w:rPr>
              <w:t>CONTRACT ASSETS AND CONTRACT LIABILITIES</w:t>
            </w:r>
            <w:r>
              <w:rPr>
                <w:sz w:val="20"/>
              </w:rPr>
              <w:t xml:space="preserve"> </w:t>
            </w:r>
          </w:p>
        </w:tc>
      </w:tr>
    </w:tbl>
    <w:p>
      <w:pPr>
        <w:pStyle w:val="TextBody"/>
        <w:bidi w:val="0"/>
        <w:jc w:val="center"/>
        <w:rPr>
          <w:rFonts w:ascii="Times New Roman;Times;Serif" w:hAnsi="Times New Roman;Times;Serif"/>
          <w:b w:val="false"/>
          <w:i w:val="false"/>
          <w:caps w:val="false"/>
          <w:smallCaps w:val="false"/>
          <w:sz w:val="20"/>
        </w:rPr>
      </w:pPr>
      <w:bookmarkStart w:id="412" w:name="xdx_8BD_zwK6YcLcrCH7"/>
      <w:bookmarkStart w:id="413" w:name="xdx_894_eus-gaap--ContractWithCustomerAs"/>
      <w:bookmarkEnd w:id="412"/>
      <w:bookmarkEnd w:id="413"/>
      <w:r>
        <w:rPr>
          <w:rFonts w:ascii="Times New Roman;Times;Serif" w:hAnsi="Times New Roman;Times;Serif"/>
          <w:b w:val="false"/>
          <w:i w:val="false"/>
          <w:caps w:val="false"/>
          <w:smallCaps w:val="false"/>
          <w:sz w:val="20"/>
        </w:rPr>
        <w:t>SCHEDULE OF CONTRACT ASSETS AND CONTRACT LIABILITIES</w:t>
      </w:r>
    </w:p>
    <w:p>
      <w:pPr>
        <w:pStyle w:val="TextBody"/>
        <w:bidi w:val="0"/>
        <w:jc w:val="left"/>
        <w:rPr>
          <w:caps w:val="false"/>
          <w:smallCaps w:val="false"/>
        </w:rPr>
      </w:pPr>
      <w:r>
        <w:rPr>
          <w:caps w:val="false"/>
          <w:smallCaps w:val="false"/>
        </w:rPr>
        <w:t> </w:t>
      </w:r>
    </w:p>
    <w:tbl>
      <w:tblPr>
        <w:tblW w:w="7564" w:type="dxa"/>
        <w:jc w:val="left"/>
        <w:tblInd w:w="0" w:type="dxa"/>
        <w:tblLayout w:type="fixed"/>
        <w:tblCellMar>
          <w:top w:w="0" w:type="dxa"/>
          <w:left w:w="0" w:type="dxa"/>
          <w:bottom w:w="0" w:type="dxa"/>
          <w:right w:w="0" w:type="dxa"/>
        </w:tblCellMar>
      </w:tblPr>
      <w:tblGrid>
        <w:gridCol w:w="3305"/>
        <w:gridCol w:w="60"/>
        <w:gridCol w:w="87"/>
        <w:gridCol w:w="1597"/>
        <w:gridCol w:w="60"/>
        <w:gridCol w:w="60"/>
        <w:gridCol w:w="60"/>
        <w:gridCol w:w="1100"/>
        <w:gridCol w:w="60"/>
        <w:gridCol w:w="60"/>
        <w:gridCol w:w="60"/>
        <w:gridCol w:w="980"/>
        <w:gridCol w:w="75"/>
      </w:tblGrid>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4" w:name="xdx_493_20250930_z6vTBSPzAOAb"/>
            <w:bookmarkEnd w:id="414"/>
          </w:p>
        </w:tc>
        <w:tc>
          <w:tcPr>
            <w:tcW w:w="168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15" w:name="xdx_496_20260331_zTmlCiGq4BKc"/>
            <w:bookmarkEnd w:id="415"/>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center"/>
              <w:rPr/>
            </w:pPr>
            <w:r>
              <w:rPr/>
              <w:t> </w:t>
            </w:r>
          </w:p>
        </w:tc>
      </w:tr>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center"/>
              <w:rPr/>
            </w:pPr>
            <w:r>
              <w:rPr/>
              <w:t> </w:t>
            </w:r>
          </w:p>
        </w:tc>
      </w:tr>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center"/>
              <w:rPr/>
            </w:pPr>
            <w:r>
              <w:rPr/>
              <w:t> </w:t>
            </w:r>
            <w:bookmarkStart w:id="416" w:name="xdx_40A_eus-gaap--ContractWithCustomerAs"/>
            <w:bookmarkEnd w:id="416"/>
          </w:p>
        </w:tc>
      </w:tr>
      <w:tr>
        <w:trPr/>
        <w:tc>
          <w:tcPr>
            <w:tcW w:w="3305" w:type="dxa"/>
            <w:tcBorders/>
            <w:shd w:fill="CCEEFF" w:val="clear"/>
            <w:vAlign w:val="center"/>
          </w:tcPr>
          <w:p>
            <w:pPr>
              <w:pStyle w:val="TableContents"/>
              <w:bidi w:val="0"/>
              <w:spacing w:before="0" w:after="283"/>
              <w:jc w:val="left"/>
              <w:rPr/>
            </w:pPr>
            <w:r>
              <w:rPr/>
              <w:t>Contract assets – current, net: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17" w:name="xdx_406_eus-gaap--ContractWithCustomerAs"/>
            <w:bookmarkEnd w:id="417"/>
          </w:p>
        </w:tc>
      </w:tr>
      <w:tr>
        <w:trPr/>
        <w:tc>
          <w:tcPr>
            <w:tcW w:w="3305" w:type="dxa"/>
            <w:tcBorders/>
            <w:shd w:fill="FFFFFF" w:val="clear"/>
            <w:vAlign w:val="center"/>
          </w:tcPr>
          <w:p>
            <w:pPr>
              <w:pStyle w:val="TableContents"/>
              <w:bidi w:val="0"/>
              <w:spacing w:before="0" w:after="283"/>
              <w:jc w:val="left"/>
              <w:rPr/>
            </w:pPr>
            <w:r>
              <w:rPr/>
              <w:t>Retention receivables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pPr>
            <w:r>
              <w:rPr/>
              <w:t>2,466,827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1,498,137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18" w:name="xdx_98F_eus-gaap--ContractWithCustomerAs"/>
            <w:bookmarkEnd w:id="418"/>
          </w:p>
        </w:tc>
        <w:tc>
          <w:tcPr>
            <w:tcW w:w="980" w:type="dxa"/>
            <w:tcBorders/>
            <w:shd w:fill="FFFFFF" w:val="clear"/>
            <w:vAlign w:val="center"/>
          </w:tcPr>
          <w:p>
            <w:pPr>
              <w:pStyle w:val="TableContents"/>
              <w:bidi w:val="0"/>
              <w:spacing w:before="0" w:after="283"/>
              <w:jc w:val="right"/>
              <w:rPr/>
            </w:pPr>
            <w:r>
              <w:rPr/>
              <w:t>217,184</w:t>
            </w:r>
          </w:p>
        </w:tc>
        <w:tc>
          <w:tcPr>
            <w:tcW w:w="75" w:type="dxa"/>
            <w:tcBorders/>
            <w:shd w:fill="FFFFFF" w:val="clear"/>
            <w:vAlign w:val="center"/>
          </w:tcPr>
          <w:p>
            <w:pPr>
              <w:pStyle w:val="TableContents"/>
              <w:bidi w:val="0"/>
              <w:spacing w:before="0" w:after="283"/>
              <w:jc w:val="left"/>
              <w:rPr/>
            </w:pPr>
            <w:r>
              <w:rPr/>
              <w:t> </w:t>
            </w:r>
            <w:bookmarkStart w:id="419" w:name="xdx_40E_eus-gaap--ContractWithCustomerAs"/>
            <w:bookmarkEnd w:id="419"/>
          </w:p>
        </w:tc>
      </w:tr>
      <w:tr>
        <w:trPr/>
        <w:tc>
          <w:tcPr>
            <w:tcW w:w="3305" w:type="dxa"/>
            <w:tcBorders/>
            <w:shd w:fill="CCEEFF" w:val="clear"/>
            <w:vAlign w:val="center"/>
          </w:tcPr>
          <w:p>
            <w:pPr>
              <w:pStyle w:val="TableContents"/>
              <w:bidi w:val="0"/>
              <w:spacing w:before="0" w:after="283"/>
              <w:jc w:val="left"/>
              <w:rPr/>
            </w:pPr>
            <w:r>
              <w:rPr/>
              <w:t>Less: allowance for credit loss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20" w:name="xdx_98E_eus-gaap--ContractWithCustomerAs"/>
            <w:bookmarkEnd w:id="420"/>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21" w:name="xdx_408_eus-gaap--ContractWithCustomerAs"/>
            <w:bookmarkEnd w:id="421"/>
          </w:p>
        </w:tc>
      </w:tr>
      <w:tr>
        <w:trPr/>
        <w:tc>
          <w:tcPr>
            <w:tcW w:w="33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9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2,466,827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1,498,137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2" w:name="xdx_98C_eus-gaap--ContractWithCustomerAs"/>
            <w:bookmarkEnd w:id="42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217,184</w:t>
            </w:r>
          </w:p>
        </w:tc>
        <w:tc>
          <w:tcPr>
            <w:tcW w:w="75" w:type="dxa"/>
            <w:tcBorders/>
            <w:shd w:fill="FFFFFF" w:val="clear"/>
            <w:vAlign w:val="center"/>
          </w:tcPr>
          <w:p>
            <w:pPr>
              <w:pStyle w:val="TableContents"/>
              <w:bidi w:val="0"/>
              <w:spacing w:before="0" w:after="283"/>
              <w:jc w:val="left"/>
              <w:rPr/>
            </w:pPr>
            <w:r>
              <w:rPr/>
              <w:t> </w:t>
            </w:r>
            <w:bookmarkStart w:id="423" w:name="xdx_40C_eus-gaap--ContractWithCustomerAs"/>
            <w:bookmarkEnd w:id="423"/>
          </w:p>
        </w:tc>
      </w:tr>
      <w:tr>
        <w:trPr/>
        <w:tc>
          <w:tcPr>
            <w:tcW w:w="3305" w:type="dxa"/>
            <w:tcBorders/>
            <w:shd w:fill="CCEEFF" w:val="clear"/>
            <w:vAlign w:val="center"/>
          </w:tcPr>
          <w:p>
            <w:pPr>
              <w:pStyle w:val="TableContents"/>
              <w:bidi w:val="0"/>
              <w:spacing w:before="0" w:after="283"/>
              <w:jc w:val="left"/>
              <w:rPr/>
            </w:pPr>
            <w:r>
              <w:rPr/>
              <w:t>Contract assets – non- current, net: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24" w:name="xdx_407_eus-gaap--ContractWithCustomerAs"/>
            <w:bookmarkEnd w:id="424"/>
          </w:p>
        </w:tc>
      </w:tr>
      <w:tr>
        <w:trPr/>
        <w:tc>
          <w:tcPr>
            <w:tcW w:w="3305" w:type="dxa"/>
            <w:tcBorders/>
            <w:shd w:fill="FFFFFF" w:val="clear"/>
            <w:vAlign w:val="center"/>
          </w:tcPr>
          <w:p>
            <w:pPr>
              <w:pStyle w:val="TableContents"/>
              <w:bidi w:val="0"/>
              <w:spacing w:before="0" w:after="283"/>
              <w:jc w:val="left"/>
              <w:rPr/>
            </w:pPr>
            <w:r>
              <w:rPr/>
              <w:t>Retention receivables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pPr>
            <w:r>
              <w:rPr/>
              <w:t>10,955,098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10,995,921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25" w:name="xdx_98A_eus-gaap--ContractWithCustomerAs"/>
            <w:bookmarkEnd w:id="425"/>
          </w:p>
        </w:tc>
        <w:tc>
          <w:tcPr>
            <w:tcW w:w="980" w:type="dxa"/>
            <w:tcBorders/>
            <w:shd w:fill="FFFFFF" w:val="clear"/>
            <w:vAlign w:val="center"/>
          </w:tcPr>
          <w:p>
            <w:pPr>
              <w:pStyle w:val="TableContents"/>
              <w:bidi w:val="0"/>
              <w:spacing w:before="0" w:after="283"/>
              <w:jc w:val="right"/>
              <w:rPr/>
            </w:pPr>
            <w:r>
              <w:rPr/>
              <w:t>1,594,074</w:t>
            </w:r>
          </w:p>
        </w:tc>
        <w:tc>
          <w:tcPr>
            <w:tcW w:w="75" w:type="dxa"/>
            <w:tcBorders/>
            <w:shd w:fill="FFFFFF" w:val="clear"/>
            <w:vAlign w:val="center"/>
          </w:tcPr>
          <w:p>
            <w:pPr>
              <w:pStyle w:val="TableContents"/>
              <w:bidi w:val="0"/>
              <w:spacing w:before="0" w:after="283"/>
              <w:jc w:val="left"/>
              <w:rPr/>
            </w:pPr>
            <w:r>
              <w:rPr/>
              <w:t> </w:t>
            </w:r>
            <w:bookmarkStart w:id="426" w:name="xdx_40A_eus-gaap--ContractWithCustomerAs"/>
            <w:bookmarkEnd w:id="426"/>
          </w:p>
        </w:tc>
      </w:tr>
      <w:tr>
        <w:trPr/>
        <w:tc>
          <w:tcPr>
            <w:tcW w:w="3305" w:type="dxa"/>
            <w:tcBorders/>
            <w:shd w:fill="CCEEFF" w:val="clear"/>
            <w:vAlign w:val="center"/>
          </w:tcPr>
          <w:p>
            <w:pPr>
              <w:pStyle w:val="TableContents"/>
              <w:bidi w:val="0"/>
              <w:spacing w:before="0" w:after="283"/>
              <w:jc w:val="left"/>
              <w:rPr/>
            </w:pPr>
            <w:r>
              <w:rPr/>
              <w:t>Less: allowance for credit loss</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7" w:name="xdx_98D_eus-gaap--ContractWithCustomerAs"/>
            <w:bookmarkEnd w:id="427"/>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28" w:name="xdx_40B_eus-gaap--ContractWithCustomerAs"/>
            <w:bookmarkEnd w:id="428"/>
          </w:p>
        </w:tc>
      </w:tr>
      <w:tr>
        <w:trPr/>
        <w:tc>
          <w:tcPr>
            <w:tcW w:w="33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9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10,955,098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10,995,921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9" w:name="xdx_98B_eus-gaap--ContractWithCustomerAs"/>
            <w:bookmarkEnd w:id="42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1,594,074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6"/>
        <w:gridCol w:w="60"/>
        <w:gridCol w:w="125"/>
        <w:gridCol w:w="1458"/>
        <w:gridCol w:w="60"/>
        <w:gridCol w:w="60"/>
        <w:gridCol w:w="60"/>
        <w:gridCol w:w="845"/>
        <w:gridCol w:w="60"/>
        <w:gridCol w:w="60"/>
        <w:gridCol w:w="60"/>
        <w:gridCol w:w="695"/>
        <w:gridCol w:w="76"/>
      </w:tblGrid>
      <w:tr>
        <w:trPr/>
        <w:tc>
          <w:tcPr>
            <w:tcW w:w="6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0" w:name="xdx_493_20250930_zXwqzatwER3e"/>
            <w:bookmarkEnd w:id="430"/>
          </w:p>
        </w:tc>
        <w:tc>
          <w:tcPr>
            <w:tcW w:w="158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1" w:name="xdx_496_20260331_zpLm7s2WMbl1"/>
            <w:bookmarkEnd w:id="431"/>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6" w:type="dxa"/>
            <w:tcBorders/>
            <w:vAlign w:val="center"/>
          </w:tcPr>
          <w:p>
            <w:pPr>
              <w:pStyle w:val="TableContents"/>
              <w:bidi w:val="0"/>
              <w:spacing w:before="0" w:after="283"/>
              <w:jc w:val="left"/>
              <w:rPr/>
            </w:pPr>
            <w:r>
              <w:rPr/>
              <w:t> </w:t>
            </w:r>
          </w:p>
        </w:tc>
      </w:tr>
      <w:tr>
        <w:trPr/>
        <w:tc>
          <w:tcPr>
            <w:tcW w:w="6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As of</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2026</w:t>
            </w:r>
          </w:p>
        </w:tc>
        <w:tc>
          <w:tcPr>
            <w:tcW w:w="76" w:type="dxa"/>
            <w:tcBorders/>
            <w:vAlign w:val="center"/>
          </w:tcPr>
          <w:p>
            <w:pPr>
              <w:pStyle w:val="TableContents"/>
              <w:bidi w:val="0"/>
              <w:spacing w:before="0" w:after="283"/>
              <w:jc w:val="left"/>
              <w:rPr/>
            </w:pPr>
            <w:r>
              <w:rPr/>
              <w:t> </w:t>
            </w:r>
          </w:p>
        </w:tc>
      </w:tr>
      <w:tr>
        <w:trPr/>
        <w:tc>
          <w:tcPr>
            <w:tcW w:w="6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6" w:type="dxa"/>
            <w:tcBorders/>
            <w:vAlign w:val="center"/>
          </w:tcPr>
          <w:p>
            <w:pPr>
              <w:pStyle w:val="TableContents"/>
              <w:bidi w:val="0"/>
              <w:spacing w:before="0" w:after="283"/>
              <w:jc w:val="left"/>
              <w:rPr/>
            </w:pPr>
            <w:r>
              <w:rPr/>
              <w:t> </w:t>
            </w:r>
            <w:bookmarkStart w:id="432" w:name="xdx_405_eus-gaap--ContractWithCustomerLi"/>
            <w:bookmarkEnd w:id="432"/>
          </w:p>
        </w:tc>
      </w:tr>
      <w:tr>
        <w:trPr/>
        <w:tc>
          <w:tcPr>
            <w:tcW w:w="658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bookmarkStart w:id="433" w:name="xdx_40A_ecustom--PaymentsReceivedOrRecei"/>
            <w:bookmarkEnd w:id="433"/>
          </w:p>
        </w:tc>
      </w:tr>
      <w:tr>
        <w:trPr/>
        <w:tc>
          <w:tcPr>
            <w:tcW w:w="65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received or receivable in excess of revenue recognized on uncompleted contracts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844,757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1,691,990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34" w:name="xdx_989_ecustom--PaymentsReceivedOrRecei"/>
            <w:bookmarkEnd w:id="434"/>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245,287</w:t>
            </w:r>
          </w:p>
        </w:tc>
        <w:tc>
          <w:tcPr>
            <w:tcW w:w="76" w:type="dxa"/>
            <w:tcBorders/>
            <w:shd w:fill="FFFFFF" w:val="clear"/>
            <w:vAlign w:val="center"/>
          </w:tcPr>
          <w:p>
            <w:pPr>
              <w:pStyle w:val="TableContents"/>
              <w:bidi w:val="0"/>
              <w:spacing w:before="0" w:after="283"/>
              <w:jc w:val="left"/>
              <w:rPr/>
            </w:pPr>
            <w:r>
              <w:rPr/>
              <w:t> </w:t>
            </w:r>
            <w:bookmarkStart w:id="435" w:name="xdx_407_eus-gaap--ContractWithCustomerLi"/>
            <w:bookmarkEnd w:id="435"/>
          </w:p>
        </w:tc>
      </w:tr>
      <w:tr>
        <w:trPr/>
        <w:tc>
          <w:tcPr>
            <w:tcW w:w="658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844,757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1,691,990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36" w:name="xdx_988_eus-gaap--ContractWithCustomerLi"/>
            <w:bookmarkEnd w:id="436"/>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245,287</w:t>
            </w:r>
          </w:p>
        </w:tc>
        <w:tc>
          <w:tcPr>
            <w:tcW w:w="76"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37" w:name="xdx_8AA_zLIEsnxqZn27"/>
      <w:bookmarkEnd w:id="437"/>
      <w:r>
        <w:rPr>
          <w:caps w:val="false"/>
          <w:smallCaps w:val="false"/>
        </w:rPr>
        <w:t> </w:t>
      </w:r>
    </w:p>
    <w:p>
      <w:pPr>
        <w:pStyle w:val="TextBody"/>
        <w:bidi w:val="0"/>
        <w:spacing w:before="0" w:after="0"/>
        <w:ind w:left="0" w:right="0" w:hanging="0"/>
        <w:jc w:val="both"/>
        <w:rPr>
          <w:caps w:val="false"/>
          <w:smallCaps w:val="false"/>
        </w:rPr>
      </w:pPr>
      <w:bookmarkStart w:id="438" w:name="xdx_801_ecustom--PrepaidsExpensesAndOthe"/>
      <w:bookmarkEnd w:id="438"/>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85"/>
        <w:gridCol w:w="4895"/>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w:t>
            </w:r>
          </w:p>
        </w:tc>
        <w:tc>
          <w:tcPr>
            <w:tcW w:w="4895" w:type="dxa"/>
            <w:tcBorders/>
            <w:vAlign w:val="center"/>
          </w:tcPr>
          <w:p>
            <w:pPr>
              <w:pStyle w:val="TableContents"/>
              <w:bidi w:val="0"/>
              <w:spacing w:before="0" w:after="283"/>
              <w:jc w:val="left"/>
              <w:rPr>
                <w:rFonts w:ascii="Times New Roman;Times;Serif" w:hAnsi="Times New Roman;Times;Serif"/>
                <w:b/>
                <w:sz w:val="20"/>
              </w:rPr>
            </w:pPr>
            <w:bookmarkStart w:id="439" w:name="xdx_828_zyCw5OK1gzPd"/>
            <w:bookmarkEnd w:id="439"/>
            <w:r>
              <w:rPr>
                <w:rFonts w:ascii="Times New Roman;Times;Serif" w:hAnsi="Times New Roman;Times;Serif"/>
                <w:b/>
                <w:sz w:val="20"/>
              </w:rPr>
              <w:t>PREPAID EXPENSES AND OTHER CURRENT ASSETS</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440" w:name="xdx_891_eus-gaap--DeferredCostsCapitaliz"/>
      <w:bookmarkEnd w:id="440"/>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ind w:left="720" w:right="0" w:hanging="0"/>
        <w:jc w:val="both"/>
        <w:rPr>
          <w:caps w:val="false"/>
          <w:smallCaps w:val="false"/>
        </w:rPr>
      </w:pPr>
      <w:r>
        <w:rPr>
          <w:caps w:val="false"/>
          <w:smallCaps w:val="false"/>
        </w:rPr>
        <w:t> </w:t>
      </w:r>
      <w:bookmarkStart w:id="441" w:name="xdx_8B5_z0P6dsCfTICh"/>
      <w:bookmarkEnd w:id="441"/>
      <w:r>
        <w:rPr>
          <w:rFonts w:ascii="Times New Roman;Times;Serif" w:hAnsi="Times New Roman;Times;Serif"/>
          <w:b w:val="false"/>
          <w:i w:val="false"/>
          <w:caps w:val="false"/>
          <w:smallCaps w:val="false"/>
          <w:sz w:val="20"/>
        </w:rPr>
        <w:t>SCHEDULE OF PREPAID EXPENSES AND OTHER CURRENT ASSETS</w:t>
      </w:r>
    </w:p>
    <w:tbl>
      <w:tblPr>
        <w:tblW w:w="6829" w:type="dxa"/>
        <w:jc w:val="left"/>
        <w:tblInd w:w="0" w:type="dxa"/>
        <w:tblLayout w:type="fixed"/>
        <w:tblCellMar>
          <w:top w:w="0" w:type="dxa"/>
          <w:left w:w="0" w:type="dxa"/>
          <w:bottom w:w="0" w:type="dxa"/>
          <w:right w:w="0" w:type="dxa"/>
        </w:tblCellMar>
      </w:tblPr>
      <w:tblGrid>
        <w:gridCol w:w="3110"/>
        <w:gridCol w:w="60"/>
        <w:gridCol w:w="109"/>
        <w:gridCol w:w="1575"/>
        <w:gridCol w:w="60"/>
        <w:gridCol w:w="60"/>
        <w:gridCol w:w="60"/>
        <w:gridCol w:w="845"/>
        <w:gridCol w:w="60"/>
        <w:gridCol w:w="60"/>
        <w:gridCol w:w="60"/>
        <w:gridCol w:w="695"/>
        <w:gridCol w:w="7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2" w:name="xdx_490_20250930_zEnYtB3MUPqh"/>
            <w:bookmarkEnd w:id="442"/>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3" w:name="xdx_49C_20260331_zWbRYiq3YSE2"/>
            <w:bookmarkEnd w:id="443"/>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March 31, 2026</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444" w:name="xdx_40C_ecustom--PrepaymentForInventorie"/>
            <w:bookmarkEnd w:id="444"/>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 for inventories and others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3,703,878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45" w:name="xdx_986_ecustom--PrepaymentForInventorie"/>
            <w:bookmarkEnd w:id="44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536,950</w:t>
            </w:r>
          </w:p>
        </w:tc>
        <w:tc>
          <w:tcPr>
            <w:tcW w:w="75" w:type="dxa"/>
            <w:tcBorders/>
            <w:shd w:fill="CCEEFF" w:val="clear"/>
            <w:vAlign w:val="center"/>
          </w:tcPr>
          <w:p>
            <w:pPr>
              <w:pStyle w:val="TableContents"/>
              <w:bidi w:val="0"/>
              <w:spacing w:before="0" w:after="283"/>
              <w:jc w:val="left"/>
              <w:rPr/>
            </w:pPr>
            <w:r>
              <w:rPr/>
              <w:t> </w:t>
            </w:r>
            <w:bookmarkStart w:id="446" w:name="xdx_406_eus-gaap--PrepaidTaxes_iI_maPEAO"/>
            <w:bookmarkEnd w:id="446"/>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taxes</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365,950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7" w:name="xdx_987_eus-gaap--PrepaidTaxes_iI_uUSD_c"/>
            <w:bookmarkEnd w:id="447"/>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73,685</w:t>
            </w:r>
          </w:p>
        </w:tc>
        <w:tc>
          <w:tcPr>
            <w:tcW w:w="75" w:type="dxa"/>
            <w:tcBorders/>
            <w:shd w:fill="FFFFFF" w:val="clear"/>
            <w:vAlign w:val="center"/>
          </w:tcPr>
          <w:p>
            <w:pPr>
              <w:pStyle w:val="TableContents"/>
              <w:bidi w:val="0"/>
              <w:spacing w:before="0" w:after="283"/>
              <w:jc w:val="left"/>
              <w:rPr/>
            </w:pPr>
            <w:r>
              <w:rPr/>
              <w:t> </w:t>
            </w:r>
            <w:bookmarkStart w:id="448" w:name="xdx_40E_eus-gaap--PrepaidExpenseAndOther"/>
            <w:bookmarkEnd w:id="448"/>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1,966,812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4,212,170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49" w:name="xdx_98A_eus-gaap--PrepaidExpenseAndOther"/>
            <w:bookmarkEnd w:id="449"/>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610,635</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bookmarkStart w:id="450" w:name="xdx_8A7_zf8Ru1NUJUwa"/>
      <w:bookmarkEnd w:id="450"/>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II-14</w:t>
            </w:r>
          </w:p>
        </w:tc>
      </w:tr>
    </w:tbl>
    <w:p>
      <w:pPr>
        <w:pStyle w:val="TextBody"/>
        <w:bidi w:val="0"/>
        <w:spacing w:before="0" w:after="0"/>
        <w:ind w:left="0" w:right="0" w:hanging="0"/>
        <w:jc w:val="left"/>
        <w:rPr/>
      </w:pPr>
      <w:r>
        <w:rPr/>
        <w:t> </w:t>
      </w:r>
    </w:p>
    <w:p>
      <w:pPr>
        <w:pStyle w:val="TextBody"/>
        <w:bidi w:val="0"/>
        <w:jc w:val="both"/>
        <w:rPr>
          <w:caps w:val="false"/>
          <w:smallCaps w:val="false"/>
        </w:rPr>
      </w:pPr>
      <w:bookmarkStart w:id="451" w:name="xdx_805_eus-gaap--PropertyPlantAndEquipm"/>
      <w:bookmarkEnd w:id="451"/>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5"/>
        <w:gridCol w:w="4040"/>
      </w:tblGrid>
      <w:tr>
        <w:trPr/>
        <w:tc>
          <w:tcPr>
            <w:tcW w:w="1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4040" w:type="dxa"/>
            <w:tcBorders/>
            <w:vAlign w:val="center"/>
          </w:tcPr>
          <w:p>
            <w:pPr>
              <w:pStyle w:val="TableContents"/>
              <w:bidi w:val="0"/>
              <w:spacing w:before="0" w:after="283"/>
              <w:jc w:val="left"/>
              <w:rPr>
                <w:rFonts w:ascii="Times New Roman;Times;Serif" w:hAnsi="Times New Roman;Times;Serif"/>
                <w:b/>
                <w:sz w:val="20"/>
              </w:rPr>
            </w:pPr>
            <w:bookmarkStart w:id="452" w:name="xdx_82D_zAQhpN7XAya4"/>
            <w:bookmarkEnd w:id="452"/>
            <w:r>
              <w:rPr>
                <w:rFonts w:ascii="Times New Roman;Times;Serif" w:hAnsi="Times New Roman;Times;Serif"/>
                <w:b/>
                <w:sz w:val="20"/>
              </w:rPr>
              <w:t>PROPERTY, PLANT AND EQUIPMENT, NET</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453" w:name="xdx_89B_eus-gaap--PropertyPlantAndEquipm"/>
      <w:bookmarkEnd w:id="453"/>
      <w:r>
        <w:rPr>
          <w:rFonts w:ascii="Times New Roman;Times;Serif" w:hAnsi="Times New Roman;Times;Serif"/>
          <w:b w:val="false"/>
          <w:i w:val="false"/>
          <w:caps w:val="false"/>
          <w:smallCaps w:val="false"/>
          <w:sz w:val="20"/>
        </w:rPr>
        <w:t>Property, plant and equipment and related accumulated depreciation were as follows:</w:t>
      </w:r>
    </w:p>
    <w:p>
      <w:pPr>
        <w:pStyle w:val="TextBody"/>
        <w:bidi w:val="0"/>
        <w:ind w:left="720" w:right="0" w:hanging="0"/>
        <w:jc w:val="both"/>
        <w:rPr>
          <w:caps w:val="false"/>
          <w:smallCaps w:val="false"/>
        </w:rPr>
      </w:pPr>
      <w:r>
        <w:rPr>
          <w:caps w:val="false"/>
          <w:smallCaps w:val="false"/>
        </w:rPr>
        <w:t> </w:t>
      </w:r>
      <w:bookmarkStart w:id="454" w:name="xdx_8B3_zhpH6YYOocbd"/>
      <w:bookmarkEnd w:id="454"/>
      <w:r>
        <w:rPr>
          <w:rFonts w:ascii="Times New Roman;Times;Serif" w:hAnsi="Times New Roman;Times;Serif"/>
          <w:b w:val="false"/>
          <w:i w:val="false"/>
          <w:caps w:val="false"/>
          <w:smallCaps w:val="false"/>
          <w:sz w:val="20"/>
        </w:rPr>
        <w:t>SCHEDULE OF PROPERTY, PLANT AND EQUIPMENT, NET</w:t>
      </w:r>
    </w:p>
    <w:tbl>
      <w:tblPr>
        <w:tblW w:w="7744" w:type="dxa"/>
        <w:jc w:val="left"/>
        <w:tblInd w:w="0" w:type="dxa"/>
        <w:tblLayout w:type="fixed"/>
        <w:tblCellMar>
          <w:top w:w="0" w:type="dxa"/>
          <w:left w:w="0" w:type="dxa"/>
          <w:bottom w:w="0" w:type="dxa"/>
          <w:right w:w="0" w:type="dxa"/>
        </w:tblCellMar>
      </w:tblPr>
      <w:tblGrid>
        <w:gridCol w:w="4100"/>
        <w:gridCol w:w="60"/>
        <w:gridCol w:w="122"/>
        <w:gridCol w:w="1562"/>
        <w:gridCol w:w="80"/>
        <w:gridCol w:w="60"/>
        <w:gridCol w:w="60"/>
        <w:gridCol w:w="755"/>
        <w:gridCol w:w="80"/>
        <w:gridCol w:w="60"/>
        <w:gridCol w:w="60"/>
        <w:gridCol w:w="650"/>
        <w:gridCol w:w="9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5" w:name="xdx_499_20250930_zwscvkvSkWo9"/>
            <w:bookmarkEnd w:id="455"/>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6" w:name="xdx_495_20260331_zCt11dLx2WT1"/>
            <w:bookmarkEnd w:id="456"/>
          </w:p>
        </w:tc>
        <w:tc>
          <w:tcPr>
            <w:tcW w:w="8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As of </w:t>
              <w:br/>
              <w:t>March 31, 2026</w:t>
            </w:r>
          </w:p>
        </w:tc>
        <w:tc>
          <w:tcPr>
            <w:tcW w:w="9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left"/>
              <w:rPr/>
            </w:pPr>
            <w:r>
              <w:rPr/>
              <w:t> </w:t>
            </w:r>
            <w:bookmarkStart w:id="457" w:name="xdx_40F_eus-gaap--PropertyPlantAndEquipm"/>
            <w:bookmarkEnd w:id="457"/>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Motor vehicles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8" w:name="xdx_98A_eus-gaap--PropertyPlantAndEquipm"/>
            <w:bookmarkEnd w:id="458"/>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66,076</w:t>
            </w:r>
          </w:p>
        </w:tc>
        <w:tc>
          <w:tcPr>
            <w:tcW w:w="95" w:type="dxa"/>
            <w:tcBorders/>
            <w:shd w:fill="CCEEFF" w:val="clear"/>
            <w:vAlign w:val="center"/>
          </w:tcPr>
          <w:p>
            <w:pPr>
              <w:pStyle w:val="TableContents"/>
              <w:bidi w:val="0"/>
              <w:spacing w:before="0" w:after="283"/>
              <w:jc w:val="left"/>
              <w:rPr/>
            </w:pPr>
            <w:r>
              <w:rPr/>
              <w:t> </w:t>
            </w:r>
            <w:bookmarkStart w:id="459" w:name="xdx_40E_eus-gaap--PropertyPlantAndEquipm"/>
            <w:bookmarkEnd w:id="459"/>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devices, furniture and office equipment</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60" w:name="xdx_98F_eus-gaap--PropertyPlantAndEquipm"/>
            <w:bookmarkEnd w:id="460"/>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1,711</w:t>
            </w:r>
          </w:p>
        </w:tc>
        <w:tc>
          <w:tcPr>
            <w:tcW w:w="95" w:type="dxa"/>
            <w:tcBorders/>
            <w:shd w:fill="FFFFFF" w:val="clear"/>
            <w:vAlign w:val="center"/>
          </w:tcPr>
          <w:p>
            <w:pPr>
              <w:pStyle w:val="TableContents"/>
              <w:bidi w:val="0"/>
              <w:spacing w:before="0" w:after="283"/>
              <w:jc w:val="left"/>
              <w:rPr/>
            </w:pPr>
            <w:r>
              <w:rPr/>
              <w:t> </w:t>
            </w:r>
            <w:bookmarkStart w:id="461" w:name="xdx_40F_eus-gaap--PropertyPlantAndEquipm"/>
            <w:bookmarkEnd w:id="461"/>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Software application</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2" w:name="xdx_980_eus-gaap--PropertyPlantAndEquipm"/>
            <w:bookmarkEnd w:id="462"/>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27,851</w:t>
            </w:r>
          </w:p>
        </w:tc>
        <w:tc>
          <w:tcPr>
            <w:tcW w:w="95" w:type="dxa"/>
            <w:tcBorders/>
            <w:shd w:fill="CCEEFF" w:val="clear"/>
            <w:vAlign w:val="center"/>
          </w:tcPr>
          <w:p>
            <w:pPr>
              <w:pStyle w:val="TableContents"/>
              <w:bidi w:val="0"/>
              <w:spacing w:before="0" w:after="283"/>
              <w:jc w:val="left"/>
              <w:rPr/>
            </w:pPr>
            <w:r>
              <w:rPr/>
              <w:t> </w:t>
            </w:r>
            <w:bookmarkStart w:id="463" w:name="xdx_40F_eus-gaap--PropertyPlantAndEquipm"/>
            <w:bookmarkEnd w:id="463"/>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62"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570,605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659,714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64" w:name="xdx_98C_eus-gaap--PropertyPlantAndEquipm"/>
            <w:bookmarkEnd w:id="464"/>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95,638</w:t>
            </w:r>
          </w:p>
        </w:tc>
        <w:tc>
          <w:tcPr>
            <w:tcW w:w="95" w:type="dxa"/>
            <w:tcBorders/>
            <w:shd w:fill="FFFFFF" w:val="clear"/>
            <w:vAlign w:val="center"/>
          </w:tcPr>
          <w:p>
            <w:pPr>
              <w:pStyle w:val="TableContents"/>
              <w:bidi w:val="0"/>
              <w:spacing w:before="0" w:after="283"/>
              <w:jc w:val="left"/>
              <w:rPr/>
            </w:pPr>
            <w:r>
              <w:rPr/>
              <w:t> </w:t>
            </w:r>
            <w:bookmarkStart w:id="465" w:name="xdx_403_eus-gaap--AccumulatedDepreciatio"/>
            <w:bookmarkEnd w:id="465"/>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(487,480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(498,310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6" w:name="xdx_981_eus-gaap--AccumulatedDepreciatio"/>
            <w:bookmarkEnd w:id="466"/>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(72,239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7" w:name="xdx_407_eus-gaap--PropertyPlantAndEquipm"/>
            <w:bookmarkEnd w:id="467"/>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161,404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68" w:name="xdx_984_eus-gaap--PropertyPlantAndEquipm"/>
            <w:bookmarkEnd w:id="468"/>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23,399</w:t>
            </w:r>
          </w:p>
        </w:tc>
        <w:tc>
          <w:tcPr>
            <w:tcW w:w="9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bookmarkStart w:id="469" w:name="xdx_8A6_zCvCMHFfEcxe"/>
      <w:bookmarkEnd w:id="469"/>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recorded depreciation expenses of RMB</w:t>
      </w:r>
      <w:bookmarkStart w:id="470" w:name="xdx_90B_eus-gaap--Depreciation_c20241001"/>
      <w:bookmarkEnd w:id="470"/>
      <w:r>
        <w:rPr>
          <w:rFonts w:ascii="Times New Roman;Times;Serif" w:hAnsi="Times New Roman;Times;Serif"/>
          <w:b w:val="false"/>
          <w:i w:val="false"/>
          <w:caps w:val="false"/>
          <w:smallCaps w:val="false"/>
          <w:sz w:val="20"/>
        </w:rPr>
        <w:t>7,117 and RMB</w:t>
      </w:r>
      <w:bookmarkStart w:id="471" w:name="xdx_90A_eus-gaap--Depreciation_c20251001"/>
      <w:bookmarkEnd w:id="471"/>
      <w:r>
        <w:rPr>
          <w:rFonts w:ascii="Times New Roman;Times;Serif" w:hAnsi="Times New Roman;Times;Serif"/>
          <w:b w:val="false"/>
          <w:i w:val="false"/>
          <w:caps w:val="false"/>
          <w:smallCaps w:val="false"/>
          <w:sz w:val="20"/>
        </w:rPr>
        <w:t>10,830 for the six months ended March 31, 2025 and 2026, respectively.</w:t>
      </w:r>
    </w:p>
    <w:p>
      <w:pPr>
        <w:pStyle w:val="TextBody"/>
        <w:bidi w:val="0"/>
        <w:jc w:val="left"/>
        <w:rPr>
          <w:caps w:val="false"/>
          <w:smallCaps w:val="false"/>
        </w:rPr>
      </w:pPr>
      <w:bookmarkStart w:id="472" w:name="xdx_800_eus-gaap--ShortTermDebtTextBlock"/>
      <w:bookmarkEnd w:id="472"/>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90"/>
        <w:gridCol w:w="270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2705" w:type="dxa"/>
            <w:tcBorders/>
            <w:vAlign w:val="center"/>
          </w:tcPr>
          <w:p>
            <w:pPr>
              <w:pStyle w:val="TableContents"/>
              <w:bidi w:val="0"/>
              <w:spacing w:before="0" w:after="283"/>
              <w:jc w:val="left"/>
              <w:rPr>
                <w:rFonts w:ascii="Times New Roman;Times;Serif" w:hAnsi="Times New Roman;Times;Serif"/>
                <w:b/>
                <w:sz w:val="20"/>
              </w:rPr>
            </w:pPr>
            <w:bookmarkStart w:id="473" w:name="xdx_825_zJYNAcOBuLbc"/>
            <w:bookmarkEnd w:id="473"/>
            <w:r>
              <w:rPr>
                <w:rFonts w:ascii="Times New Roman;Times;Serif" w:hAnsi="Times New Roman;Times;Serif"/>
                <w:b/>
                <w:sz w:val="20"/>
              </w:rPr>
              <w:t xml:space="preserve">SHORT-TERM BORROWING </w:t>
            </w:r>
          </w:p>
        </w:tc>
      </w:tr>
    </w:tbl>
    <w:p>
      <w:pPr>
        <w:pStyle w:val="TextBody"/>
        <w:bidi w:val="0"/>
        <w:ind w:left="48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Julong Online entered into a loan facility agreement with Beijing Bank with borrowing credit of RMB</w:t>
      </w:r>
      <w:bookmarkStart w:id="474" w:name="xdx_908_eus-gaap--LineOfCreditFacilityMa"/>
      <w:bookmarkEnd w:id="474"/>
      <w:r>
        <w:rPr>
          <w:rFonts w:ascii="Times New Roman;Times;Serif" w:hAnsi="Times New Roman;Times;Serif"/>
          <w:b w:val="false"/>
          <w:i w:val="false"/>
          <w:caps w:val="false"/>
          <w:smallCaps w:val="false"/>
          <w:sz w:val="20"/>
        </w:rPr>
        <w:t xml:space="preserve">10,000,000, bearing interest rate of </w:t>
      </w:r>
      <w:bookmarkStart w:id="475" w:name="xdx_90D_eus-gaap--LineOfCreditFacilityIn"/>
      <w:bookmarkEnd w:id="475"/>
      <w:r>
        <w:rPr>
          <w:rFonts w:ascii="Times New Roman;Times;Serif" w:hAnsi="Times New Roman;Times;Serif"/>
          <w:b w:val="false"/>
          <w:i w:val="false"/>
          <w:caps w:val="false"/>
          <w:smallCaps w:val="false"/>
          <w:sz w:val="20"/>
        </w:rPr>
        <w:t xml:space="preserve">3.0% per annum with a maturity date in </w:t>
      </w:r>
      <w:bookmarkStart w:id="476" w:name="xdx_902_eus-gaap--LineOfCreditFacilityDe"/>
      <w:bookmarkEnd w:id="476"/>
      <w:r>
        <w:rPr>
          <w:rFonts w:ascii="Times New Roman;Times;Serif" w:hAnsi="Times New Roman;Times;Serif"/>
          <w:b w:val="false"/>
          <w:i w:val="false"/>
          <w:caps w:val="false"/>
          <w:smallCaps w:val="false"/>
          <w:sz w:val="20"/>
        </w:rPr>
        <w:t>November 2026.</w:t>
      </w:r>
    </w:p>
    <w:p>
      <w:pPr>
        <w:pStyle w:val="TextBody"/>
        <w:bidi w:val="0"/>
        <w:ind w:left="720" w:right="0" w:hanging="0"/>
        <w:jc w:val="both"/>
        <w:rPr>
          <w:caps w:val="false"/>
          <w:smallCaps w:val="false"/>
        </w:rPr>
      </w:pPr>
      <w:bookmarkStart w:id="477" w:name="xdx_807_eus-gaap--AccountsPayableAccrued"/>
      <w:bookmarkEnd w:id="477"/>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90"/>
        <w:gridCol w:w="548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5480" w:type="dxa"/>
            <w:tcBorders/>
            <w:vAlign w:val="center"/>
          </w:tcPr>
          <w:p>
            <w:pPr>
              <w:pStyle w:val="TableContents"/>
              <w:bidi w:val="0"/>
              <w:spacing w:before="0" w:after="283"/>
              <w:jc w:val="left"/>
              <w:rPr>
                <w:rFonts w:ascii="Times New Roman;Times;Serif" w:hAnsi="Times New Roman;Times;Serif"/>
                <w:b/>
                <w:sz w:val="20"/>
              </w:rPr>
            </w:pPr>
            <w:bookmarkStart w:id="478" w:name="xdx_82E_zb4cmsKv4rp8"/>
            <w:bookmarkEnd w:id="478"/>
            <w:r>
              <w:rPr>
                <w:rFonts w:ascii="Times New Roman;Times;Serif" w:hAnsi="Times New Roman;Times;Serif"/>
                <w:b/>
                <w:sz w:val="20"/>
              </w:rPr>
              <w:t>ACCRUED EXPENSES AND OTHER CURRENT LIABILITIES</w:t>
            </w:r>
          </w:p>
        </w:tc>
      </w:tr>
    </w:tbl>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479" w:name="xdx_898_eus-gaap--ScheduleOfAccountsPaya"/>
      <w:bookmarkEnd w:id="479"/>
      <w:r>
        <w:rPr>
          <w:rFonts w:ascii="Times New Roman;Times;Serif" w:hAnsi="Times New Roman;Times;Serif"/>
          <w:b w:val="false"/>
          <w:i w:val="false"/>
          <w:caps w:val="false"/>
          <w:smallCaps w:val="false"/>
          <w:sz w:val="20"/>
        </w:rPr>
        <w:t>The components of accrued expenses and other current liabilities are as follows:</w:t>
      </w:r>
    </w:p>
    <w:p>
      <w:pPr>
        <w:pStyle w:val="TextBody"/>
        <w:bidi w:val="0"/>
        <w:ind w:left="720" w:right="0" w:hanging="0"/>
        <w:jc w:val="both"/>
        <w:rPr>
          <w:caps w:val="false"/>
          <w:smallCaps w:val="false"/>
        </w:rPr>
      </w:pPr>
      <w:r>
        <w:rPr>
          <w:caps w:val="false"/>
          <w:smallCaps w:val="false"/>
        </w:rPr>
        <w:t> </w:t>
      </w:r>
      <w:bookmarkStart w:id="480" w:name="xdx_8B3_zQZr8AVRcyac"/>
      <w:bookmarkEnd w:id="480"/>
      <w:r>
        <w:rPr>
          <w:rFonts w:ascii="Times New Roman;Times;Serif" w:hAnsi="Times New Roman;Times;Serif"/>
          <w:b w:val="false"/>
          <w:i w:val="false"/>
          <w:caps w:val="false"/>
          <w:smallCaps w:val="false"/>
          <w:sz w:val="20"/>
        </w:rPr>
        <w:t>SCHEDULE OF ACCRUED EXPENSES AND OTHER CURRENT LIABILITIES</w:t>
      </w:r>
    </w:p>
    <w:tbl>
      <w:tblPr>
        <w:tblW w:w="6709" w:type="dxa"/>
        <w:jc w:val="left"/>
        <w:tblInd w:w="0" w:type="dxa"/>
        <w:tblLayout w:type="fixed"/>
        <w:tblCellMar>
          <w:top w:w="0" w:type="dxa"/>
          <w:left w:w="0" w:type="dxa"/>
          <w:bottom w:w="0" w:type="dxa"/>
          <w:right w:w="0" w:type="dxa"/>
        </w:tblCellMar>
      </w:tblPr>
      <w:tblGrid>
        <w:gridCol w:w="2525"/>
        <w:gridCol w:w="60"/>
        <w:gridCol w:w="90"/>
        <w:gridCol w:w="1594"/>
        <w:gridCol w:w="60"/>
        <w:gridCol w:w="60"/>
        <w:gridCol w:w="60"/>
        <w:gridCol w:w="1055"/>
        <w:gridCol w:w="60"/>
        <w:gridCol w:w="60"/>
        <w:gridCol w:w="60"/>
        <w:gridCol w:w="95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1" w:name="xdx_49D_20250930_zY7t4YMdaYIe"/>
            <w:bookmarkEnd w:id="481"/>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2" w:name="xdx_490_20260331_z2sWu6keInya"/>
            <w:bookmarkEnd w:id="482"/>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483" w:name="xdx_408_eus-gaap--AccruedSalariesCurrent"/>
            <w:bookmarkEnd w:id="483"/>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Salary and welfare payable</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4" w:name="xdx_98B_eus-gaap--AccruedSalariesCurrent"/>
            <w:bookmarkEnd w:id="484"/>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40,276</w:t>
            </w:r>
          </w:p>
        </w:tc>
        <w:tc>
          <w:tcPr>
            <w:tcW w:w="75" w:type="dxa"/>
            <w:tcBorders/>
            <w:shd w:fill="CCEEFF" w:val="clear"/>
            <w:vAlign w:val="center"/>
          </w:tcPr>
          <w:p>
            <w:pPr>
              <w:pStyle w:val="TableContents"/>
              <w:bidi w:val="0"/>
              <w:spacing w:before="0" w:after="283"/>
              <w:jc w:val="left"/>
              <w:rPr/>
            </w:pPr>
            <w:r>
              <w:rPr/>
              <w:t> </w:t>
            </w:r>
            <w:bookmarkStart w:id="485" w:name="xdx_40C_ecustom--AccruedLiabilitiesToSup"/>
            <w:bookmarkEnd w:id="485"/>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liabilities to suppliers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194,166,070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242,920,386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86" w:name="xdx_984_ecustom--AccruedLiabilitiesToSup"/>
            <w:bookmarkEnd w:id="486"/>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35,216,061</w:t>
            </w:r>
          </w:p>
        </w:tc>
        <w:tc>
          <w:tcPr>
            <w:tcW w:w="75" w:type="dxa"/>
            <w:tcBorders/>
            <w:shd w:fill="FFFFFF" w:val="clear"/>
            <w:vAlign w:val="center"/>
          </w:tcPr>
          <w:p>
            <w:pPr>
              <w:pStyle w:val="TableContents"/>
              <w:bidi w:val="0"/>
              <w:spacing w:before="0" w:after="283"/>
              <w:jc w:val="left"/>
              <w:rPr/>
            </w:pPr>
            <w:r>
              <w:rPr/>
              <w:t> </w:t>
            </w:r>
            <w:bookmarkStart w:id="487" w:name="xdx_406_eus-gaap--AccrualForTaxesOtherTh"/>
            <w:bookmarkEnd w:id="487"/>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tax payable</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23,150,849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28,435,033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8" w:name="xdx_983_eus-gaap--AccrualForTaxesOtherTh"/>
            <w:bookmarkEnd w:id="488"/>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4,122,214</w:t>
            </w:r>
          </w:p>
        </w:tc>
        <w:tc>
          <w:tcPr>
            <w:tcW w:w="75" w:type="dxa"/>
            <w:tcBorders/>
            <w:shd w:fill="CCEEFF" w:val="clear"/>
            <w:vAlign w:val="center"/>
          </w:tcPr>
          <w:p>
            <w:pPr>
              <w:pStyle w:val="TableContents"/>
              <w:bidi w:val="0"/>
              <w:spacing w:before="0" w:after="283"/>
              <w:jc w:val="left"/>
              <w:rPr/>
            </w:pPr>
            <w:r>
              <w:rPr/>
              <w:t> </w:t>
            </w:r>
            <w:bookmarkStart w:id="489" w:name="xdx_408_ecustom--AccruedSupplierDepositF"/>
            <w:bookmarkEnd w:id="489"/>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Supplier deposit for quality</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2,678,737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1,822,850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90" w:name="xdx_98C_ecustom--AccruedSupplierDepositF"/>
            <w:bookmarkEnd w:id="490"/>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264,258</w:t>
            </w:r>
          </w:p>
        </w:tc>
        <w:tc>
          <w:tcPr>
            <w:tcW w:w="75" w:type="dxa"/>
            <w:tcBorders/>
            <w:shd w:fill="FFFFFF" w:val="clear"/>
            <w:vAlign w:val="center"/>
          </w:tcPr>
          <w:p>
            <w:pPr>
              <w:pStyle w:val="TableContents"/>
              <w:bidi w:val="0"/>
              <w:spacing w:before="0" w:after="283"/>
              <w:jc w:val="left"/>
              <w:rPr/>
            </w:pPr>
            <w:r>
              <w:rPr/>
              <w:t> </w:t>
            </w:r>
            <w:bookmarkStart w:id="491" w:name="xdx_403_eus-gaap--OtherAccruedLiabilitie"/>
            <w:bookmarkEnd w:id="491"/>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Others</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1,442,104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1,583,281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2" w:name="xdx_980_eus-gaap--OtherAccruedLiabilitie"/>
            <w:bookmarkEnd w:id="492"/>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229,527</w:t>
            </w:r>
          </w:p>
        </w:tc>
        <w:tc>
          <w:tcPr>
            <w:tcW w:w="75" w:type="dxa"/>
            <w:tcBorders/>
            <w:shd w:fill="CCEEFF" w:val="clear"/>
            <w:vAlign w:val="center"/>
          </w:tcPr>
          <w:p>
            <w:pPr>
              <w:pStyle w:val="TableContents"/>
              <w:bidi w:val="0"/>
              <w:spacing w:before="0" w:after="283"/>
              <w:jc w:val="left"/>
              <w:rPr/>
            </w:pPr>
            <w:r>
              <w:rPr/>
              <w:t> </w:t>
            </w:r>
            <w:bookmarkStart w:id="493" w:name="xdx_404_eus-gaap--AccruedLiabilitiesAndO"/>
            <w:bookmarkEnd w:id="493"/>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221,848,274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275,039,372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94" w:name="xdx_983_eus-gaap--AccruedLiabilitiesAndO"/>
            <w:bookmarkEnd w:id="494"/>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39,872,336</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bookmarkStart w:id="495" w:name="xdx_8AD_zbv3CAyUlQLe"/>
      <w:bookmarkEnd w:id="495"/>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II-15</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bookmarkStart w:id="496" w:name="xdx_80E_eus-gaap--LesseeOperatingLeasesT"/>
      <w:bookmarkEnd w:id="496"/>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90"/>
        <w:gridCol w:w="78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785" w:type="dxa"/>
            <w:tcBorders/>
            <w:vAlign w:val="center"/>
          </w:tcPr>
          <w:p>
            <w:pPr>
              <w:pStyle w:val="TableContents"/>
              <w:bidi w:val="0"/>
              <w:spacing w:before="0" w:after="283"/>
              <w:jc w:val="left"/>
              <w:rPr>
                <w:rFonts w:ascii="Times New Roman;Times;Serif" w:hAnsi="Times New Roman;Times;Serif"/>
                <w:b/>
                <w:sz w:val="20"/>
              </w:rPr>
            </w:pPr>
            <w:bookmarkStart w:id="497" w:name="xdx_827_z9E4oPLNzLT4"/>
            <w:bookmarkEnd w:id="497"/>
            <w:r>
              <w:rPr>
                <w:rFonts w:ascii="Times New Roman;Times;Serif" w:hAnsi="Times New Roman;Times;Serif"/>
                <w:b/>
                <w:sz w:val="20"/>
              </w:rPr>
              <w:t>LEASES</w:t>
            </w:r>
          </w:p>
        </w:tc>
      </w:tr>
    </w:tbl>
    <w:p>
      <w:pPr>
        <w:pStyle w:val="TextBody"/>
        <w:bidi w:val="0"/>
        <w:ind w:left="567"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498" w:name="xdx_893_eus-gaap--LeaseCostTableTextBloc"/>
      <w:bookmarkEnd w:id="498"/>
      <w:r>
        <w:rPr>
          <w:rFonts w:ascii="Times New Roman;Times;Serif" w:hAnsi="Times New Roman;Times;Serif"/>
          <w:b w:val="false"/>
          <w:i w:val="false"/>
          <w:caps w:val="false"/>
          <w:smallCaps w:val="false"/>
          <w:sz w:val="20"/>
        </w:rPr>
        <w:t>Operating leases of the Group mainly include leases of office space. The components of lease expenses were as follows:</w:t>
      </w:r>
    </w:p>
    <w:p>
      <w:pPr>
        <w:pStyle w:val="TextBody"/>
        <w:bidi w:val="0"/>
        <w:ind w:left="720" w:right="0" w:hanging="0"/>
        <w:jc w:val="both"/>
        <w:rPr>
          <w:caps w:val="false"/>
          <w:smallCaps w:val="false"/>
        </w:rPr>
      </w:pPr>
      <w:r>
        <w:rPr>
          <w:caps w:val="false"/>
          <w:smallCaps w:val="false"/>
        </w:rPr>
        <w:t> </w:t>
      </w:r>
      <w:bookmarkStart w:id="499" w:name="xdx_8B6_zWYAE9ImDTW4"/>
      <w:bookmarkEnd w:id="499"/>
      <w:r>
        <w:rPr>
          <w:rFonts w:ascii="Times New Roman;Times;Serif" w:hAnsi="Times New Roman;Times;Serif"/>
          <w:b w:val="false"/>
          <w:i w:val="false"/>
          <w:caps w:val="false"/>
          <w:smallCaps w:val="false"/>
          <w:sz w:val="20"/>
        </w:rPr>
        <w:t>SCHEDULE OF COMPONENTS OF LEASE EXPENSES</w:t>
      </w:r>
    </w:p>
    <w:tbl>
      <w:tblPr>
        <w:tblW w:w="4961" w:type="dxa"/>
        <w:jc w:val="left"/>
        <w:tblInd w:w="0" w:type="dxa"/>
        <w:tblLayout w:type="fixed"/>
        <w:tblCellMar>
          <w:top w:w="0" w:type="dxa"/>
          <w:left w:w="0" w:type="dxa"/>
          <w:bottom w:w="0" w:type="dxa"/>
          <w:right w:w="0" w:type="dxa"/>
        </w:tblCellMar>
      </w:tblPr>
      <w:tblGrid>
        <w:gridCol w:w="1700"/>
        <w:gridCol w:w="60"/>
        <w:gridCol w:w="119"/>
        <w:gridCol w:w="1385"/>
        <w:gridCol w:w="60"/>
        <w:gridCol w:w="60"/>
        <w:gridCol w:w="68"/>
        <w:gridCol w:w="675"/>
        <w:gridCol w:w="68"/>
        <w:gridCol w:w="68"/>
        <w:gridCol w:w="68"/>
        <w:gridCol w:w="555"/>
        <w:gridCol w:w="75"/>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0" w:name="xdx_491_20241001__20250331_z250FDZfe4Ck"/>
            <w:bookmarkEnd w:id="500"/>
          </w:p>
        </w:tc>
        <w:tc>
          <w:tcPr>
            <w:tcW w:w="15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1" w:name="xdx_49F_20251001__20260331_zln4vnxLwfQg"/>
            <w:bookmarkEnd w:id="501"/>
          </w:p>
        </w:tc>
        <w:tc>
          <w:tcPr>
            <w:tcW w:w="74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2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For the</w:t>
            </w:r>
          </w:p>
          <w:p>
            <w:pPr>
              <w:pStyle w:val="TableContents"/>
              <w:bidi w:val="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2"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2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502" w:name="xdx_407_eus-gaap--LeaseCostAbstract_iB_z"/>
            <w:bookmarkEnd w:id="502"/>
          </w:p>
        </w:tc>
      </w:tr>
      <w:tr>
        <w:trPr/>
        <w:tc>
          <w:tcPr>
            <w:tcW w:w="170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 cost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3" w:name="xdx_40F_eus-gaap--OperatingLeaseCost_i01"/>
            <w:bookmarkEnd w:id="503"/>
          </w:p>
        </w:tc>
      </w:tr>
      <w:tr>
        <w:trPr/>
        <w:tc>
          <w:tcPr>
            <w:tcW w:w="17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54,596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504" w:name="xdx_983_eus-gaap--OperatingLeaseCost_i01"/>
            <w:bookmarkEnd w:id="504"/>
          </w:p>
        </w:tc>
        <w:tc>
          <w:tcPr>
            <w:tcW w:w="5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7,915</w:t>
            </w:r>
          </w:p>
        </w:tc>
        <w:tc>
          <w:tcPr>
            <w:tcW w:w="75" w:type="dxa"/>
            <w:tcBorders/>
            <w:shd w:fill="FFFFFF" w:val="clear"/>
            <w:vAlign w:val="center"/>
          </w:tcPr>
          <w:p>
            <w:pPr>
              <w:pStyle w:val="TableContents"/>
              <w:bidi w:val="0"/>
              <w:spacing w:before="0" w:after="283"/>
              <w:jc w:val="left"/>
              <w:rPr/>
            </w:pPr>
            <w:r>
              <w:rPr/>
              <w:t> </w:t>
            </w:r>
            <w:bookmarkStart w:id="505" w:name="xdx_402_eus-gaap--ShortTermLeaseCost_i01"/>
            <w:bookmarkEnd w:id="505"/>
          </w:p>
        </w:tc>
      </w:tr>
      <w:tr>
        <w:trPr/>
        <w:tc>
          <w:tcPr>
            <w:tcW w:w="17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term lease cost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06" w:name="xdx_981_eus-gaap--ShortTermLeaseCost_i01"/>
            <w:bookmarkEnd w:id="506"/>
          </w:p>
        </w:tc>
        <w:tc>
          <w:tcPr>
            <w:tcW w:w="5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507" w:name="xdx_400_eus-gaap--LeaseCost_i01T_mtLCzA5"/>
            <w:bookmarkEnd w:id="507"/>
          </w:p>
        </w:tc>
      </w:tr>
      <w:tr>
        <w:trPr/>
        <w:tc>
          <w:tcPr>
            <w:tcW w:w="170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lease cost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163,524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54,596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08" w:name="xdx_98E_eus-gaap--LeaseCost_iT_uUSD_c202"/>
            <w:bookmarkEnd w:id="508"/>
          </w:p>
        </w:tc>
        <w:tc>
          <w:tcPr>
            <w:tcW w:w="5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7,915</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bookmarkStart w:id="509" w:name="xdx_8A6_zs8TKVwE8Bai"/>
      <w:bookmarkEnd w:id="509"/>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 cost was recognized as rental expenses in consolidated statements of operations on a straight-line basis over the lease term. For the six months ended March 31, 2025, and 2026, there is </w:t>
      </w:r>
      <w:bookmarkStart w:id="510" w:name="xdx_904_eus-gaap--SubleaseIncome_do_c202"/>
      <w:bookmarkStart w:id="511" w:name="xdx_907_eus-gaap--SubleaseIncome_do_c202"/>
      <w:bookmarkEnd w:id="510"/>
      <w:bookmarkEnd w:id="511"/>
      <w:r>
        <w:rPr>
          <w:rFonts w:ascii="Times New Roman;Times;Serif" w:hAnsi="Times New Roman;Times;Serif"/>
          <w:b w:val="false"/>
          <w:i w:val="false"/>
          <w:caps w:val="false"/>
          <w:smallCaps w:val="false"/>
          <w:sz w:val="20"/>
        </w:rPr>
        <w:t>no variable lease cost and sublease income recognized in the consolidated financial statements of the Group.</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512" w:name="xdx_89F_ecustom--ScheduleOfSupplementalC"/>
      <w:bookmarkEnd w:id="512"/>
      <w:r>
        <w:rPr>
          <w:rFonts w:ascii="Times New Roman;Times;Serif" w:hAnsi="Times New Roman;Times;Serif"/>
          <w:b w:val="false"/>
          <w:i w:val="false"/>
          <w:caps w:val="false"/>
          <w:smallCaps w:val="false"/>
          <w:sz w:val="20"/>
        </w:rPr>
        <w:t>Supplemental cash flows information related to leases was as follows:</w:t>
      </w:r>
    </w:p>
    <w:p>
      <w:pPr>
        <w:pStyle w:val="TextBody"/>
        <w:bidi w:val="0"/>
        <w:ind w:left="720" w:right="0" w:hanging="0"/>
        <w:jc w:val="left"/>
        <w:rPr>
          <w:caps w:val="false"/>
          <w:smallCaps w:val="false"/>
        </w:rPr>
      </w:pPr>
      <w:r>
        <w:rPr>
          <w:caps w:val="false"/>
          <w:smallCaps w:val="false"/>
        </w:rPr>
        <w:t> </w:t>
      </w:r>
      <w:bookmarkStart w:id="513" w:name="xdx_8BE_zvbtcSuN4jja"/>
      <w:bookmarkEnd w:id="513"/>
      <w:r>
        <w:rPr>
          <w:rFonts w:ascii="Times New Roman;Times;Serif" w:hAnsi="Times New Roman;Times;Serif"/>
          <w:b w:val="false"/>
          <w:i w:val="false"/>
          <w:caps w:val="false"/>
          <w:smallCaps w:val="false"/>
          <w:sz w:val="20"/>
        </w:rPr>
        <w:t>SCHEDULE OF SUPPLEMENTAL CASH FLOWS INFORMATION RELATED TO LEASES</w:t>
      </w:r>
    </w:p>
    <w:tbl>
      <w:tblPr>
        <w:tblW w:w="8332" w:type="dxa"/>
        <w:jc w:val="left"/>
        <w:tblInd w:w="0" w:type="dxa"/>
        <w:tblLayout w:type="fixed"/>
        <w:tblCellMar>
          <w:top w:w="0" w:type="dxa"/>
          <w:left w:w="0" w:type="dxa"/>
          <w:bottom w:w="0" w:type="dxa"/>
          <w:right w:w="0" w:type="dxa"/>
        </w:tblCellMar>
      </w:tblPr>
      <w:tblGrid>
        <w:gridCol w:w="5030"/>
        <w:gridCol w:w="60"/>
        <w:gridCol w:w="127"/>
        <w:gridCol w:w="1377"/>
        <w:gridCol w:w="80"/>
        <w:gridCol w:w="60"/>
        <w:gridCol w:w="62"/>
        <w:gridCol w:w="672"/>
        <w:gridCol w:w="82"/>
        <w:gridCol w:w="62"/>
        <w:gridCol w:w="62"/>
        <w:gridCol w:w="563"/>
        <w:gridCol w:w="9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4" w:name="xdx_492_20241001__20250331_zjUQiANFhM25"/>
            <w:bookmarkEnd w:id="514"/>
          </w:p>
        </w:tc>
        <w:tc>
          <w:tcPr>
            <w:tcW w:w="15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5" w:name="xdx_495_20251001__20260331_z4uGdiVnAwxa"/>
            <w:bookmarkEnd w:id="515"/>
          </w:p>
        </w:tc>
        <w:tc>
          <w:tcPr>
            <w:tcW w:w="73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3"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measurement of liabilities:</w:t>
            </w:r>
          </w:p>
        </w:tc>
        <w:tc>
          <w:tcPr>
            <w:tcW w:w="60" w:type="dxa"/>
            <w:tcBorders/>
            <w:shd w:fill="CCEEFF" w:val="clear"/>
            <w:vAlign w:val="center"/>
          </w:tcPr>
          <w:p>
            <w:pPr>
              <w:pStyle w:val="TableContents"/>
              <w:bidi w:val="0"/>
              <w:spacing w:before="0" w:after="283"/>
              <w:jc w:val="left"/>
              <w:rPr/>
            </w:pPr>
            <w:r>
              <w:rPr/>
              <w:t> </w:t>
            </w:r>
          </w:p>
        </w:tc>
        <w:tc>
          <w:tcPr>
            <w:tcW w:w="1504"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4" w:type="dxa"/>
            <w:gridSpan w:val="2"/>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bookmarkStart w:id="516" w:name="xdx_403_eus-gaap--OperatingLeasePayments"/>
            <w:bookmarkEnd w:id="516"/>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(49,166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7" w:name="xdx_984_eus-gaap--OperatingLeasePayments"/>
            <w:bookmarkEnd w:id="517"/>
          </w:p>
        </w:tc>
        <w:tc>
          <w:tcPr>
            <w:tcW w:w="5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518" w:name="xdx_40D_eus-gaap--RightOfUseAssetObtaine"/>
            <w:bookmarkEnd w:id="518"/>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9" w:name="xdx_980_eus-gaap--RightOfUseAssetObtaine"/>
            <w:bookmarkEnd w:id="519"/>
          </w:p>
        </w:tc>
        <w:tc>
          <w:tcPr>
            <w:tcW w:w="5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20" w:name="xdx_8A6_zYds9yH8qbB8"/>
      <w:bookmarkEnd w:id="520"/>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521" w:name="xdx_890_ecustom--ScheduleOfSupplementalB"/>
      <w:bookmarkEnd w:id="521"/>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ind w:left="720" w:right="0" w:hanging="0"/>
        <w:jc w:val="left"/>
        <w:rPr>
          <w:caps w:val="false"/>
          <w:smallCaps w:val="false"/>
        </w:rPr>
      </w:pPr>
      <w:r>
        <w:rPr>
          <w:caps w:val="false"/>
          <w:smallCaps w:val="false"/>
        </w:rPr>
        <w:t> </w:t>
      </w:r>
      <w:bookmarkStart w:id="522" w:name="xdx_8B4_zIFYw1hPUwd4"/>
      <w:bookmarkEnd w:id="522"/>
      <w:r>
        <w:rPr>
          <w:rFonts w:ascii="Times New Roman;Times;Serif" w:hAnsi="Times New Roman;Times;Serif"/>
          <w:b w:val="false"/>
          <w:i w:val="false"/>
          <w:caps w:val="false"/>
          <w:smallCaps w:val="false"/>
          <w:sz w:val="20"/>
        </w:rPr>
        <w:t>SCHEDULE OF SUPPLEMENTAL BALANCE SHEET INFORMATION RELATED TO LEASES</w:t>
      </w:r>
    </w:p>
    <w:tbl>
      <w:tblPr>
        <w:tblW w:w="6619" w:type="dxa"/>
        <w:jc w:val="left"/>
        <w:tblInd w:w="0" w:type="dxa"/>
        <w:tblLayout w:type="fixed"/>
        <w:tblCellMar>
          <w:top w:w="0" w:type="dxa"/>
          <w:left w:w="0" w:type="dxa"/>
          <w:bottom w:w="0" w:type="dxa"/>
          <w:right w:w="0" w:type="dxa"/>
        </w:tblCellMar>
      </w:tblPr>
      <w:tblGrid>
        <w:gridCol w:w="3155"/>
        <w:gridCol w:w="60"/>
        <w:gridCol w:w="133"/>
        <w:gridCol w:w="1551"/>
        <w:gridCol w:w="60"/>
        <w:gridCol w:w="60"/>
        <w:gridCol w:w="60"/>
        <w:gridCol w:w="695"/>
        <w:gridCol w:w="60"/>
        <w:gridCol w:w="60"/>
        <w:gridCol w:w="60"/>
        <w:gridCol w:w="590"/>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7_20250930_zJQeY564Iij5"/>
            <w:bookmarkEnd w:id="523"/>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4" w:name="xdx_49C_20260331_zYjrNfbFKYB6"/>
            <w:bookmarkEnd w:id="524"/>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leases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25" w:name="xdx_40D_eus-gaap--OperatingLeaseRightOfU"/>
            <w:bookmarkEnd w:id="525"/>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6" w:name="xdx_981_eus-gaap--OperatingLeaseRightOfU"/>
            <w:bookmarkEnd w:id="526"/>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33,266</w:t>
            </w:r>
          </w:p>
        </w:tc>
        <w:tc>
          <w:tcPr>
            <w:tcW w:w="75" w:type="dxa"/>
            <w:tcBorders/>
            <w:shd w:fill="FFFFFF" w:val="clear"/>
            <w:vAlign w:val="center"/>
          </w:tcPr>
          <w:p>
            <w:pPr>
              <w:pStyle w:val="TableContents"/>
              <w:bidi w:val="0"/>
              <w:spacing w:before="0" w:after="283"/>
              <w:jc w:val="left"/>
              <w:rPr/>
            </w:pPr>
            <w:r>
              <w:rPr/>
              <w:t> </w:t>
            </w:r>
            <w:bookmarkStart w:id="527" w:name="xdx_407_ecustom--OperatingLeaseAssets_iT"/>
            <w:bookmarkEnd w:id="527"/>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lease assets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280,398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229,471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28" w:name="xdx_982_ecustom--OperatingLeaseAssets_iT"/>
            <w:bookmarkEnd w:id="528"/>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33,266</w:t>
            </w:r>
          </w:p>
        </w:tc>
        <w:tc>
          <w:tcPr>
            <w:tcW w:w="75" w:type="dxa"/>
            <w:tcBorders/>
            <w:shd w:fill="CCEEFF" w:val="clear"/>
            <w:vAlign w:val="center"/>
          </w:tcPr>
          <w:p>
            <w:pPr>
              <w:pStyle w:val="TableContents"/>
              <w:bidi w:val="0"/>
              <w:spacing w:before="0" w:after="283"/>
              <w:jc w:val="left"/>
              <w:rPr/>
            </w:pPr>
            <w:r>
              <w:rPr/>
              <w:t> </w:t>
            </w:r>
            <w:bookmarkStart w:id="529" w:name="xdx_40B_eus-gaap--OperatingLeaseLiabilit"/>
            <w:bookmarkEnd w:id="529"/>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30" w:name="xdx_98B_eus-gaap--OperatingLeaseLiabilit"/>
            <w:bookmarkEnd w:id="530"/>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14,575</w:t>
            </w:r>
          </w:p>
        </w:tc>
        <w:tc>
          <w:tcPr>
            <w:tcW w:w="75" w:type="dxa"/>
            <w:tcBorders/>
            <w:shd w:fill="FFFFFF" w:val="clear"/>
            <w:vAlign w:val="center"/>
          </w:tcPr>
          <w:p>
            <w:pPr>
              <w:pStyle w:val="TableContents"/>
              <w:bidi w:val="0"/>
              <w:spacing w:before="0" w:after="283"/>
              <w:jc w:val="left"/>
              <w:rPr/>
            </w:pPr>
            <w:r>
              <w:rPr/>
              <w:t> </w:t>
            </w:r>
            <w:bookmarkStart w:id="531" w:name="xdx_40F_eus-gaap--OperatingLeaseLiabilit"/>
            <w:bookmarkEnd w:id="531"/>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32" w:name="xdx_98A_eus-gaap--OperatingLeaseLiabilit"/>
            <w:bookmarkEnd w:id="532"/>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16,563</w:t>
            </w:r>
          </w:p>
        </w:tc>
        <w:tc>
          <w:tcPr>
            <w:tcW w:w="75" w:type="dxa"/>
            <w:tcBorders/>
            <w:shd w:fill="CCEEFF" w:val="clear"/>
            <w:vAlign w:val="center"/>
          </w:tcPr>
          <w:p>
            <w:pPr>
              <w:pStyle w:val="TableContents"/>
              <w:bidi w:val="0"/>
              <w:spacing w:before="0" w:after="283"/>
              <w:jc w:val="left"/>
              <w:rPr/>
            </w:pPr>
            <w:r>
              <w:rPr/>
              <w:t> </w:t>
            </w:r>
            <w:bookmarkStart w:id="533" w:name="xdx_400_eus-gaap--OperatingLeaseLiabilit"/>
            <w:bookmarkEnd w:id="533"/>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263,961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214,794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34" w:name="xdx_98D_eus-gaap--OperatingLeaseLiabilit"/>
            <w:bookmarkEnd w:id="534"/>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31,138</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r>
        <w:rPr>
          <w:caps w:val="false"/>
          <w:smallCaps w:val="false"/>
        </w:rPr>
        <w:t> </w:t>
      </w:r>
    </w:p>
    <w:tbl>
      <w:tblPr>
        <w:tblW w:w="7733" w:type="dxa"/>
        <w:jc w:val="left"/>
        <w:tblInd w:w="0" w:type="dxa"/>
        <w:tblLayout w:type="fixed"/>
        <w:tblCellMar>
          <w:top w:w="0" w:type="dxa"/>
          <w:left w:w="0" w:type="dxa"/>
          <w:bottom w:w="0" w:type="dxa"/>
          <w:right w:w="0" w:type="dxa"/>
        </w:tblCellMar>
      </w:tblPr>
      <w:tblGrid>
        <w:gridCol w:w="4565"/>
        <w:gridCol w:w="60"/>
        <w:gridCol w:w="86"/>
        <w:gridCol w:w="1223"/>
        <w:gridCol w:w="185"/>
        <w:gridCol w:w="60"/>
        <w:gridCol w:w="89"/>
        <w:gridCol w:w="1265"/>
        <w:gridCol w:w="20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0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Weighted average remaining lease term- operating lease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35" w:name="xdx_90F_eus-gaap--OperatingLeaseWeighted"/>
            <w:bookmarkEnd w:id="535"/>
            <w:r>
              <w:rPr>
                <w:rFonts w:ascii="Times New Roman;Times;Serif" w:hAnsi="Times New Roman;Times;Serif"/>
                <w:b w:val="false"/>
                <w:i w:val="false"/>
                <w:caps w:val="false"/>
                <w:smallCaps w:val="false"/>
                <w:sz w:val="20"/>
              </w:rPr>
              <w:t>0.25 years</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36" w:name="xdx_90A_eus-gaap--OperatingLeaseWeighted"/>
            <w:bookmarkEnd w:id="536"/>
            <w:r>
              <w:rPr>
                <w:rFonts w:ascii="Times New Roman;Times;Serif" w:hAnsi="Times New Roman;Times;Serif"/>
                <w:b w:val="false"/>
                <w:i w:val="false"/>
                <w:caps w:val="false"/>
                <w:smallCaps w:val="false"/>
                <w:sz w:val="20"/>
              </w:rPr>
              <w:t>2.25 years</w:t>
            </w:r>
          </w:p>
        </w:tc>
        <w:tc>
          <w:tcPr>
            <w:tcW w:w="20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Weighted average discount rate- operating lease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sz w:val="20"/>
              </w:rPr>
            </w:pPr>
            <w:bookmarkStart w:id="537" w:name="xdx_90B_eus-gaap--OperatingLeaseWeighted"/>
            <w:bookmarkEnd w:id="537"/>
            <w:r>
              <w:rPr>
                <w:rFonts w:ascii="Times New Roman;Times;Serif" w:hAnsi="Times New Roman;Times;Serif"/>
                <w:sz w:val="20"/>
              </w:rPr>
              <w:t>4.75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sz w:val="20"/>
              </w:rPr>
            </w:pPr>
            <w:bookmarkStart w:id="538" w:name="xdx_902_eus-gaap--OperatingLeaseWeighted"/>
            <w:bookmarkEnd w:id="538"/>
            <w:r>
              <w:rPr>
                <w:rFonts w:ascii="Times New Roman;Times;Serif" w:hAnsi="Times New Roman;Times;Serif"/>
                <w:sz w:val="20"/>
              </w:rPr>
              <w:t>3.00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jc w:val="center"/>
        <w:rPr>
          <w:caps w:val="false"/>
          <w:smallCaps w:val="false"/>
        </w:rPr>
      </w:pPr>
      <w:bookmarkStart w:id="539" w:name="xdx_8A5_zZfgms9eOD9c"/>
      <w:bookmarkEnd w:id="539"/>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II-16</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540" w:name="xdx_894_eus-gaap--LesseeOperatingLeaseLi"/>
      <w:bookmarkEnd w:id="540"/>
      <w:r>
        <w:rPr>
          <w:rFonts w:ascii="Times New Roman;Times;Serif" w:hAnsi="Times New Roman;Times;Serif"/>
          <w:b w:val="false"/>
          <w:i w:val="false"/>
          <w:caps w:val="false"/>
          <w:smallCaps w:val="false"/>
          <w:sz w:val="20"/>
        </w:rPr>
        <w:t>The following is a maturity analysis of the annual undiscounted cash flows for the annual periods ended March 31, 2026:</w:t>
      </w:r>
    </w:p>
    <w:p>
      <w:pPr>
        <w:pStyle w:val="TextBody"/>
        <w:bidi w:val="0"/>
        <w:ind w:left="720" w:right="0" w:hanging="0"/>
        <w:jc w:val="both"/>
        <w:rPr>
          <w:caps w:val="false"/>
          <w:smallCaps w:val="false"/>
        </w:rPr>
      </w:pPr>
      <w:r>
        <w:rPr>
          <w:caps w:val="false"/>
          <w:smallCaps w:val="false"/>
        </w:rPr>
        <w:t> </w:t>
      </w:r>
      <w:bookmarkStart w:id="541" w:name="xdx_8BA_zkoeriHwE3kg"/>
      <w:bookmarkEnd w:id="541"/>
      <w:r>
        <w:rPr>
          <w:rFonts w:ascii="Times New Roman;Times;Serif" w:hAnsi="Times New Roman;Times;Serif"/>
          <w:b w:val="false"/>
          <w:i w:val="false"/>
          <w:caps w:val="false"/>
          <w:smallCaps w:val="false"/>
          <w:sz w:val="20"/>
        </w:rPr>
        <w:t>SCHEDULE OF ANNUAL UNDISCOUNTED CASH FLOW OF THE OPERATING LEASE LIABILITIES</w:t>
      </w:r>
    </w:p>
    <w:tbl>
      <w:tblPr>
        <w:tblW w:w="5020" w:type="dxa"/>
        <w:jc w:val="left"/>
        <w:tblInd w:w="0" w:type="dxa"/>
        <w:tblLayout w:type="fixed"/>
        <w:tblCellMar>
          <w:top w:w="0" w:type="dxa"/>
          <w:left w:w="0" w:type="dxa"/>
          <w:bottom w:w="28" w:type="dxa"/>
          <w:right w:w="0" w:type="dxa"/>
        </w:tblCellMar>
      </w:tblPr>
      <w:tblGrid>
        <w:gridCol w:w="3320"/>
        <w:gridCol w:w="60"/>
        <w:gridCol w:w="60"/>
        <w:gridCol w:w="695"/>
        <w:gridCol w:w="80"/>
        <w:gridCol w:w="60"/>
        <w:gridCol w:w="60"/>
        <w:gridCol w:w="590"/>
        <w:gridCol w:w="95"/>
      </w:tblGrid>
      <w:tr>
        <w:trPr/>
        <w:tc>
          <w:tcPr>
            <w:tcW w:w="33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tcMar>
              <w:bottom w:w="0" w:type="dxa"/>
            </w:tcMar>
            <w:vAlign w:val="center"/>
          </w:tcPr>
          <w:p>
            <w:pPr>
              <w:pStyle w:val="TableContents"/>
              <w:bidi w:val="0"/>
              <w:spacing w:before="0" w:after="283"/>
              <w:jc w:val="left"/>
              <w:rPr/>
            </w:pPr>
            <w:r>
              <w:rPr/>
              <w:t> </w:t>
            </w:r>
            <w:bookmarkStart w:id="542" w:name="xdx_495_20260331_zuU02Dv25G0i"/>
            <w:bookmarkEnd w:id="542"/>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tcMar>
              <w:bottom w:w="0" w:type="dxa"/>
            </w:tcMar>
            <w:vAlign w:val="center"/>
          </w:tcPr>
          <w:p>
            <w:pPr>
              <w:pStyle w:val="TableContents"/>
              <w:bidi w:val="0"/>
              <w:spacing w:before="0" w:after="283"/>
              <w:jc w:val="left"/>
              <w:rPr/>
            </w:pPr>
            <w:r>
              <w:rPr/>
              <w:t> </w:t>
            </w:r>
            <w:bookmarkStart w:id="543" w:name="xdx_406_eus-gaap--LesseeOperatingLeaseLi"/>
            <w:bookmarkEnd w:id="543"/>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105,670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544" w:name="xdx_98E_eus-gaap--LesseeOperatingLeaseLi"/>
            <w:bookmarkEnd w:id="544"/>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15,319</w:t>
            </w:r>
          </w:p>
        </w:tc>
        <w:tc>
          <w:tcPr>
            <w:tcW w:w="95" w:type="dxa"/>
            <w:tcBorders/>
            <w:shd w:fill="CCEEFF" w:val="clear"/>
            <w:tcMar>
              <w:bottom w:w="0" w:type="dxa"/>
            </w:tcMar>
            <w:vAlign w:val="center"/>
          </w:tcPr>
          <w:p>
            <w:pPr>
              <w:pStyle w:val="TableContents"/>
              <w:bidi w:val="0"/>
              <w:spacing w:before="0" w:after="283"/>
              <w:jc w:val="left"/>
              <w:rPr/>
            </w:pPr>
            <w:r>
              <w:rPr/>
              <w:t> </w:t>
            </w:r>
            <w:bookmarkStart w:id="545" w:name="xdx_40E_eus-gaap--LesseeOperatingLeaseLi"/>
            <w:bookmarkEnd w:id="545"/>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116,237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546" w:name="xdx_988_eus-gaap--LesseeOperatingLeaseLi"/>
            <w:bookmarkEnd w:id="546"/>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16,851</w:t>
            </w:r>
          </w:p>
        </w:tc>
        <w:tc>
          <w:tcPr>
            <w:tcW w:w="95" w:type="dxa"/>
            <w:tcBorders/>
            <w:shd w:fill="FFFFFF" w:val="clear"/>
            <w:tcMar>
              <w:bottom w:w="0" w:type="dxa"/>
            </w:tcMar>
            <w:vAlign w:val="center"/>
          </w:tcPr>
          <w:p>
            <w:pPr>
              <w:pStyle w:val="TableContents"/>
              <w:bidi w:val="0"/>
              <w:spacing w:before="0" w:after="283"/>
              <w:jc w:val="left"/>
              <w:rPr/>
            </w:pPr>
            <w:r>
              <w:rPr/>
              <w:t> </w:t>
            </w:r>
            <w:bookmarkStart w:id="547" w:name="xdx_403_eus-gaap--LesseeOperatingLeaseLi"/>
            <w:bookmarkEnd w:id="547"/>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548" w:name="xdx_98A_eus-gaap--LesseeOperatingLeaseLi"/>
            <w:bookmarkEnd w:id="548"/>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tcMar>
              <w:bottom w:w="0" w:type="dxa"/>
            </w:tcMar>
            <w:vAlign w:val="center"/>
          </w:tcPr>
          <w:p>
            <w:pPr>
              <w:pStyle w:val="TableContents"/>
              <w:bidi w:val="0"/>
              <w:spacing w:before="0" w:after="283"/>
              <w:jc w:val="left"/>
              <w:rPr/>
            </w:pPr>
            <w:r>
              <w:rPr/>
              <w:t> </w:t>
            </w:r>
            <w:bookmarkStart w:id="549" w:name="xdx_400_eus-gaap--LesseeOperatingLeaseLi"/>
            <w:bookmarkEnd w:id="549"/>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550" w:name="xdx_98B_eus-gaap--LesseeOperatingLeaseLi"/>
            <w:bookmarkEnd w:id="550"/>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bookmarkStart w:id="551" w:name="xdx_40D_ecustom--LesseeOperatingLeaseLia"/>
            <w:bookmarkEnd w:id="551"/>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2031 and 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bookmarkStart w:id="552" w:name="xdx_98C_ecustom--LesseeOperatingLeaseLia"/>
            <w:bookmarkEnd w:id="552"/>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tcMar>
              <w:bottom w:w="0" w:type="dxa"/>
            </w:tcMar>
            <w:vAlign w:val="center"/>
          </w:tcPr>
          <w:p>
            <w:pPr>
              <w:pStyle w:val="TableContents"/>
              <w:bidi w:val="0"/>
              <w:spacing w:before="0" w:after="283"/>
              <w:jc w:val="left"/>
              <w:rPr/>
            </w:pPr>
            <w:r>
              <w:rPr/>
              <w:t> </w:t>
            </w:r>
            <w:bookmarkStart w:id="553" w:name="xdx_403_ecustom--LessImputedInterest_iNI"/>
            <w:bookmarkEnd w:id="553"/>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(7,113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bookmarkStart w:id="554" w:name="xdx_98B_ecustom--LessImputedInterest_iNI"/>
            <w:bookmarkEnd w:id="554"/>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(1,032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555" w:name="xdx_403_eus-gaap--LesseeOperatingLeaseLi"/>
            <w:bookmarkEnd w:id="555"/>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9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214,794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556" w:name="xdx_988_eus-gaap--LesseeOperatingLeaseLi"/>
            <w:bookmarkEnd w:id="556"/>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31,138</w:t>
            </w:r>
          </w:p>
        </w:tc>
        <w:tc>
          <w:tcPr>
            <w:tcW w:w="95" w:type="dxa"/>
            <w:tcBorders/>
            <w:shd w:fill="CCEEFF" w:val="clear"/>
            <w:tcMar>
              <w:bottom w:w="0" w:type="dxa"/>
            </w:tcMar>
            <w:vAlign w:val="center"/>
          </w:tcPr>
          <w:p>
            <w:pPr>
              <w:pStyle w:val="TableContents"/>
              <w:bidi w:val="0"/>
              <w:spacing w:before="0" w:after="283"/>
              <w:jc w:val="left"/>
              <w:rPr/>
            </w:pPr>
            <w:r>
              <w:rPr/>
              <w:t> </w:t>
            </w:r>
            <w:bookmarkStart w:id="557" w:name="xdx_40A_eus-gaap--OperatingLeaseLiabilit"/>
            <w:bookmarkEnd w:id="557"/>
          </w:p>
        </w:tc>
      </w:tr>
      <w:tr>
        <w:trPr/>
        <w:tc>
          <w:tcPr>
            <w:tcW w:w="332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Less: current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100,540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bookmarkStart w:id="558" w:name="xdx_986_eus-gaap--OperatingLeaseLiabilit"/>
            <w:bookmarkEnd w:id="558"/>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14,575</w:t>
            </w:r>
          </w:p>
        </w:tc>
        <w:tc>
          <w:tcPr>
            <w:tcW w:w="95" w:type="dxa"/>
            <w:tcBorders/>
            <w:shd w:fill="FFFFFF" w:val="clear"/>
            <w:tcMar>
              <w:bottom w:w="0" w:type="dxa"/>
            </w:tcMar>
            <w:vAlign w:val="center"/>
          </w:tcPr>
          <w:p>
            <w:pPr>
              <w:pStyle w:val="TableContents"/>
              <w:bidi w:val="0"/>
              <w:spacing w:before="0" w:after="283"/>
              <w:jc w:val="left"/>
              <w:rPr/>
            </w:pPr>
            <w:r>
              <w:rPr/>
              <w:t> </w:t>
            </w:r>
            <w:bookmarkStart w:id="559" w:name="xdx_400_eus-gaap--OperatingLeaseLiabilit"/>
            <w:bookmarkEnd w:id="559"/>
          </w:p>
        </w:tc>
      </w:tr>
      <w:tr>
        <w:trPr/>
        <w:tc>
          <w:tcPr>
            <w:tcW w:w="332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9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114,254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560" w:name="xdx_985_eus-gaap--OperatingLeaseLiabilit"/>
            <w:bookmarkEnd w:id="560"/>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16,563</w:t>
            </w:r>
          </w:p>
        </w:tc>
        <w:tc>
          <w:tcPr>
            <w:tcW w:w="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ind w:left="720" w:right="0" w:hanging="0"/>
        <w:jc w:val="both"/>
        <w:rPr>
          <w:caps w:val="false"/>
          <w:smallCaps w:val="false"/>
        </w:rPr>
      </w:pPr>
      <w:bookmarkStart w:id="561" w:name="xdx_8A7_zYTxeaKImxG8"/>
      <w:bookmarkEnd w:id="561"/>
      <w:r>
        <w:rPr>
          <w:caps w:val="false"/>
          <w:smallCaps w:val="false"/>
        </w:rPr>
        <w:t> </w:t>
      </w:r>
    </w:p>
    <w:p>
      <w:pPr>
        <w:pStyle w:val="TextBody"/>
        <w:bidi w:val="0"/>
        <w:ind w:left="720" w:right="0" w:hanging="0"/>
        <w:jc w:val="both"/>
        <w:rPr>
          <w:caps w:val="false"/>
          <w:smallCaps w:val="false"/>
        </w:rPr>
      </w:pPr>
      <w:bookmarkStart w:id="562" w:name="xdx_801_eus-gaap--FairValueMeasurementIn"/>
      <w:bookmarkEnd w:id="562"/>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13.</w:t>
            </w:r>
          </w:p>
        </w:tc>
        <w:tc>
          <w:tcPr>
            <w:tcW w:w="2810" w:type="dxa"/>
            <w:tcBorders/>
            <w:vAlign w:val="center"/>
          </w:tcPr>
          <w:p>
            <w:pPr>
              <w:pStyle w:val="TableContents"/>
              <w:bidi w:val="0"/>
              <w:spacing w:before="0" w:after="283"/>
              <w:jc w:val="left"/>
              <w:rPr>
                <w:rFonts w:ascii="Times New Roman;Times;Serif" w:hAnsi="Times New Roman;Times;Serif"/>
                <w:b/>
                <w:sz w:val="20"/>
              </w:rPr>
            </w:pPr>
            <w:bookmarkStart w:id="563" w:name="xdx_823_zsbqUQwELWm6"/>
            <w:bookmarkEnd w:id="563"/>
            <w:r>
              <w:rPr>
                <w:rFonts w:ascii="Times New Roman;Times;Serif" w:hAnsi="Times New Roman;Times;Serif"/>
                <w:b/>
                <w:sz w:val="20"/>
              </w:rPr>
              <w:t>FAIR VALUE MEASUREMENT</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assets and liabilities primarily include cash and cash equivalents, restricted cash, accounts receivable, notes receivable, other receivables, amounts due from related parties, amount due to related parties, short-term borrowing, accounts payable and other current liabilities.</w:t>
      </w:r>
    </w:p>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restricted cash, accounts receivable, notes receivable, amounts due from related parties, other receivables, amount due to related parties, short-term borrowing, accounts payable and other current liabilities approximate their fair values.</w:t>
      </w:r>
    </w:p>
    <w:p>
      <w:pPr>
        <w:pStyle w:val="TextBody"/>
        <w:bidi w:val="0"/>
        <w:jc w:val="both"/>
        <w:rPr>
          <w:caps w:val="false"/>
          <w:smallCaps w:val="false"/>
        </w:rPr>
      </w:pPr>
      <w:bookmarkStart w:id="564" w:name="xdx_801_eus-gaap--RevenueFromContractWit"/>
      <w:bookmarkEnd w:id="564"/>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90"/>
        <w:gridCol w:w="98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14.</w:t>
            </w:r>
          </w:p>
        </w:tc>
        <w:tc>
          <w:tcPr>
            <w:tcW w:w="980" w:type="dxa"/>
            <w:tcBorders/>
            <w:vAlign w:val="center"/>
          </w:tcPr>
          <w:p>
            <w:pPr>
              <w:pStyle w:val="TableContents"/>
              <w:bidi w:val="0"/>
              <w:spacing w:before="0" w:after="283"/>
              <w:jc w:val="left"/>
              <w:rPr>
                <w:rFonts w:ascii="Times New Roman;Times;Serif" w:hAnsi="Times New Roman;Times;Serif"/>
                <w:b/>
                <w:sz w:val="20"/>
              </w:rPr>
            </w:pPr>
            <w:bookmarkStart w:id="565" w:name="xdx_827_zv3OHE1Z2VEi"/>
            <w:bookmarkEnd w:id="565"/>
            <w:r>
              <w:rPr>
                <w:rFonts w:ascii="Times New Roman;Times;Serif" w:hAnsi="Times New Roman;Times;Serif"/>
                <w:b/>
                <w:sz w:val="20"/>
              </w:rPr>
              <w:t>REVENUE</w:t>
            </w:r>
          </w:p>
        </w:tc>
      </w:tr>
    </w:tbl>
    <w:p>
      <w:pPr>
        <w:pStyle w:val="TextBody"/>
        <w:bidi w:val="0"/>
        <w:ind w:left="1440" w:right="0" w:hanging="720"/>
        <w:jc w:val="both"/>
        <w:rPr>
          <w:caps w:val="false"/>
          <w:smallCaps w:val="false"/>
        </w:rPr>
      </w:pPr>
      <w:r>
        <w:rPr>
          <w:caps w:val="false"/>
          <w:smallCaps w:val="false"/>
        </w:rPr>
        <w:t> </w:t>
      </w:r>
    </w:p>
    <w:p>
      <w:pPr>
        <w:pStyle w:val="TextBody"/>
        <w:bidi w:val="0"/>
        <w:ind w:left="1440" w:right="0" w:hanging="720"/>
        <w:jc w:val="both"/>
        <w:rPr>
          <w:rFonts w:ascii="Times New Roman;Times;Serif" w:hAnsi="Times New Roman;Times;Serif"/>
          <w:b w:val="false"/>
          <w:i w:val="false"/>
          <w:caps w:val="false"/>
          <w:smallCaps w:val="false"/>
          <w:sz w:val="20"/>
        </w:rPr>
      </w:pPr>
      <w:bookmarkStart w:id="566" w:name="xdx_893_eus-gaap--DisaggregationOfRevenu"/>
      <w:bookmarkEnd w:id="566"/>
      <w:r>
        <w:rPr>
          <w:rFonts w:ascii="Times New Roman;Times;Serif" w:hAnsi="Times New Roman;Times;Serif"/>
          <w:b w:val="false"/>
          <w:i w:val="false"/>
          <w:caps w:val="false"/>
          <w:smallCaps w:val="false"/>
          <w:sz w:val="20"/>
        </w:rPr>
        <w:t>The following table disaggregates the Group’s revenue by major sources:</w:t>
      </w:r>
    </w:p>
    <w:p>
      <w:pPr>
        <w:pStyle w:val="TextBody"/>
        <w:bidi w:val="0"/>
        <w:jc w:val="center"/>
        <w:rPr>
          <w:caps w:val="false"/>
          <w:smallCaps w:val="false"/>
        </w:rPr>
      </w:pPr>
      <w:r>
        <w:rPr>
          <w:caps w:val="false"/>
          <w:smallCaps w:val="false"/>
        </w:rPr>
        <w:t> </w:t>
      </w:r>
      <w:bookmarkStart w:id="567" w:name="xdx_8B7_zA6cDRXPAoJ7"/>
      <w:bookmarkEnd w:id="567"/>
      <w:r>
        <w:rPr>
          <w:rFonts w:ascii="Times New Roman;Times;Serif" w:hAnsi="Times New Roman;Times;Serif"/>
          <w:b w:val="false"/>
          <w:i w:val="false"/>
          <w:caps w:val="false"/>
          <w:smallCaps w:val="false"/>
          <w:sz w:val="20"/>
        </w:rPr>
        <w:t>SCHEDULE OF DISAGGREGATES OF REVENUE</w:t>
      </w:r>
    </w:p>
    <w:tbl>
      <w:tblPr>
        <w:tblW w:w="8105" w:type="dxa"/>
        <w:jc w:val="left"/>
        <w:tblInd w:w="0" w:type="dxa"/>
        <w:tblLayout w:type="fixed"/>
        <w:tblCellMar>
          <w:top w:w="0" w:type="dxa"/>
          <w:left w:w="0" w:type="dxa"/>
          <w:bottom w:w="0" w:type="dxa"/>
          <w:right w:w="0" w:type="dxa"/>
        </w:tblCellMar>
      </w:tblPr>
      <w:tblGrid>
        <w:gridCol w:w="4490"/>
        <w:gridCol w:w="60"/>
        <w:gridCol w:w="60"/>
        <w:gridCol w:w="1055"/>
        <w:gridCol w:w="60"/>
        <w:gridCol w:w="60"/>
        <w:gridCol w:w="60"/>
        <w:gridCol w:w="1055"/>
        <w:gridCol w:w="60"/>
        <w:gridCol w:w="60"/>
        <w:gridCol w:w="60"/>
        <w:gridCol w:w="950"/>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8" w:name="xdx_49A_20241001__20250331_zXuQY8gbBqHh"/>
            <w:bookmarkEnd w:id="568"/>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9" w:name="xdx_49E_20251001__20260331_zXyunkYdXfgb"/>
            <w:bookmarkEnd w:id="569"/>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March 3l,</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570" w:name="xdx_400_eus-gaap--RevenueFromContractWit"/>
            <w:bookmarkEnd w:id="570"/>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Engineering solutions of intelligent projects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97,860,980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120,264,552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71" w:name="xdx_987_eus-gaap--RevenueFromContractWit"/>
            <w:bookmarkEnd w:id="571"/>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17,434,699</w:t>
            </w:r>
          </w:p>
        </w:tc>
        <w:tc>
          <w:tcPr>
            <w:tcW w:w="75" w:type="dxa"/>
            <w:tcBorders/>
            <w:shd w:fill="CCEEFF" w:val="clear"/>
            <w:vAlign w:val="center"/>
          </w:tcPr>
          <w:p>
            <w:pPr>
              <w:pStyle w:val="TableContents"/>
              <w:bidi w:val="0"/>
              <w:spacing w:before="0" w:after="283"/>
              <w:jc w:val="left"/>
              <w:rPr/>
            </w:pPr>
            <w:r>
              <w:rPr/>
              <w:t> </w:t>
            </w:r>
            <w:bookmarkStart w:id="572" w:name="xdx_40C_eus-gaap--RevenueFromContractWit"/>
            <w:bookmarkEnd w:id="572"/>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 and maintenance of intelligent projects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4,303,976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3,682,377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73" w:name="xdx_983_eus-gaap--RevenueFromContractWit"/>
            <w:bookmarkEnd w:id="573"/>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533,833</w:t>
            </w:r>
          </w:p>
        </w:tc>
        <w:tc>
          <w:tcPr>
            <w:tcW w:w="75" w:type="dxa"/>
            <w:tcBorders/>
            <w:shd w:fill="FFFFFF" w:val="clear"/>
            <w:vAlign w:val="center"/>
          </w:tcPr>
          <w:p>
            <w:pPr>
              <w:pStyle w:val="TableContents"/>
              <w:bidi w:val="0"/>
              <w:spacing w:before="0" w:after="283"/>
              <w:jc w:val="left"/>
              <w:rPr/>
            </w:pPr>
            <w:r>
              <w:rPr/>
              <w:t> </w:t>
            </w:r>
            <w:bookmarkStart w:id="574" w:name="xdx_407_eus-gaap--RevenueFromContractWit"/>
            <w:bookmarkEnd w:id="574"/>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equipment and materials of intelligent systems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75" w:name="xdx_98C_eus-gaap--RevenueFromContractWit"/>
            <w:bookmarkEnd w:id="575"/>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50,142</w:t>
            </w:r>
          </w:p>
        </w:tc>
        <w:tc>
          <w:tcPr>
            <w:tcW w:w="75" w:type="dxa"/>
            <w:tcBorders/>
            <w:shd w:fill="CCEEFF" w:val="clear"/>
            <w:vAlign w:val="center"/>
          </w:tcPr>
          <w:p>
            <w:pPr>
              <w:pStyle w:val="TableContents"/>
              <w:bidi w:val="0"/>
              <w:spacing w:before="0" w:after="283"/>
              <w:jc w:val="left"/>
              <w:rPr/>
            </w:pPr>
            <w:r>
              <w:rPr/>
              <w:t> </w:t>
            </w:r>
            <w:bookmarkStart w:id="576" w:name="xdx_406_eus-gaap--RevenueFromContractWit"/>
            <w:bookmarkEnd w:id="576"/>
          </w:p>
        </w:tc>
      </w:tr>
      <w:tr>
        <w:trPr/>
        <w:tc>
          <w:tcPr>
            <w:tcW w:w="449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102,175,246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124,292,811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77" w:name="xdx_982_eus-gaap--RevenueFromContractWit"/>
            <w:bookmarkEnd w:id="577"/>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18,018,674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578" w:name="xdx_8A7_zpdQksDitFs9"/>
      <w:bookmarkEnd w:id="578"/>
      <w:r>
        <w:rPr>
          <w:caps w:val="false"/>
          <w:smallCaps w:val="false"/>
        </w:rPr>
        <w:t> </w:t>
      </w:r>
    </w:p>
    <w:p>
      <w:pPr>
        <w:pStyle w:val="TextBody"/>
        <w:bidi w:val="0"/>
        <w:ind w:left="1440" w:right="0" w:hanging="720"/>
        <w:jc w:val="both"/>
        <w:rPr>
          <w:rFonts w:ascii="Times New Roman;Times;Serif" w:hAnsi="Times New Roman;Times;Serif"/>
          <w:b w:val="false"/>
          <w:i w:val="false"/>
          <w:caps w:val="false"/>
          <w:smallCaps w:val="false"/>
          <w:sz w:val="20"/>
        </w:rPr>
      </w:pPr>
      <w:bookmarkStart w:id="579" w:name="xdx_89B_eus-gaap--ScheduleOfRevenueByMaj"/>
      <w:bookmarkEnd w:id="579"/>
      <w:r>
        <w:rPr>
          <w:rFonts w:ascii="Times New Roman;Times;Serif" w:hAnsi="Times New Roman;Times;Serif"/>
          <w:b w:val="false"/>
          <w:i w:val="false"/>
          <w:caps w:val="false"/>
          <w:smallCaps w:val="false"/>
          <w:sz w:val="20"/>
        </w:rPr>
        <w:t>The following table summarizes the Group’s revenues recognized at a point in time or over time:</w:t>
      </w:r>
    </w:p>
    <w:p>
      <w:pPr>
        <w:pStyle w:val="TextBody"/>
        <w:bidi w:val="0"/>
        <w:ind w:left="1440" w:right="0" w:hanging="720"/>
        <w:jc w:val="left"/>
        <w:rPr>
          <w:caps w:val="false"/>
          <w:smallCaps w:val="false"/>
        </w:rPr>
      </w:pPr>
      <w:r>
        <w:rPr>
          <w:caps w:val="false"/>
          <w:smallCaps w:val="false"/>
        </w:rPr>
        <w:t> </w:t>
      </w:r>
      <w:bookmarkStart w:id="580" w:name="xdx_8B6_zjfwLKt4z3nd"/>
      <w:bookmarkEnd w:id="580"/>
      <w:r>
        <w:rPr>
          <w:rFonts w:ascii="Times New Roman;Times;Serif" w:hAnsi="Times New Roman;Times;Serif"/>
          <w:b w:val="false"/>
          <w:i w:val="false"/>
          <w:caps w:val="false"/>
          <w:smallCaps w:val="false"/>
          <w:sz w:val="20"/>
        </w:rPr>
        <w:t>SCHEDULE OF REVENUES RECOGNIZED AT A POINT IN TIME OR OVER TIME</w:t>
      </w:r>
    </w:p>
    <w:tbl>
      <w:tblPr>
        <w:tblW w:w="6740" w:type="dxa"/>
        <w:jc w:val="left"/>
        <w:tblInd w:w="0" w:type="dxa"/>
        <w:tblLayout w:type="fixed"/>
        <w:tblCellMar>
          <w:top w:w="0" w:type="dxa"/>
          <w:left w:w="0" w:type="dxa"/>
          <w:bottom w:w="0" w:type="dxa"/>
          <w:right w:w="0" w:type="dxa"/>
        </w:tblCellMar>
      </w:tblPr>
      <w:tblGrid>
        <w:gridCol w:w="3125"/>
        <w:gridCol w:w="60"/>
        <w:gridCol w:w="60"/>
        <w:gridCol w:w="1055"/>
        <w:gridCol w:w="60"/>
        <w:gridCol w:w="60"/>
        <w:gridCol w:w="60"/>
        <w:gridCol w:w="1055"/>
        <w:gridCol w:w="60"/>
        <w:gridCol w:w="60"/>
        <w:gridCol w:w="60"/>
        <w:gridCol w:w="950"/>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1" w:name="xdx_497_20241001__20250331_zjVOrCxx36Ml"/>
            <w:bookmarkEnd w:id="581"/>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2" w:name="xdx_495_20251001__20260331_zyU65FJwb6Ta"/>
            <w:bookmarkEnd w:id="582"/>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March 3l,</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583" w:name="xdx_405_eus-gaap--RevenueFromContractWit"/>
            <w:bookmarkEnd w:id="583"/>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84" w:name="xdx_989_eus-gaap--RevenueFromContractWit"/>
            <w:bookmarkEnd w:id="584"/>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50,142</w:t>
            </w:r>
          </w:p>
        </w:tc>
        <w:tc>
          <w:tcPr>
            <w:tcW w:w="75" w:type="dxa"/>
            <w:tcBorders/>
            <w:shd w:fill="CCEEFF" w:val="clear"/>
            <w:vAlign w:val="center"/>
          </w:tcPr>
          <w:p>
            <w:pPr>
              <w:pStyle w:val="TableContents"/>
              <w:bidi w:val="0"/>
              <w:spacing w:before="0" w:after="283"/>
              <w:jc w:val="left"/>
              <w:rPr/>
            </w:pPr>
            <w:r>
              <w:rPr/>
              <w:t> </w:t>
            </w:r>
            <w:bookmarkStart w:id="585" w:name="xdx_40A_eus-gaap--RevenueFromContractWit"/>
            <w:bookmarkEnd w:id="585"/>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 recognized over time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102,164,956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123,946,929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6" w:name="xdx_98B_eus-gaap--RevenueFromContractWit"/>
            <w:bookmarkEnd w:id="586"/>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17,968,532</w:t>
            </w:r>
          </w:p>
        </w:tc>
        <w:tc>
          <w:tcPr>
            <w:tcW w:w="75" w:type="dxa"/>
            <w:tcBorders/>
            <w:shd w:fill="FFFFFF" w:val="clear"/>
            <w:vAlign w:val="center"/>
          </w:tcPr>
          <w:p>
            <w:pPr>
              <w:pStyle w:val="TableContents"/>
              <w:bidi w:val="0"/>
              <w:spacing w:before="0" w:after="283"/>
              <w:jc w:val="left"/>
              <w:rPr/>
            </w:pPr>
            <w:r>
              <w:rPr/>
              <w:t> </w:t>
            </w:r>
            <w:bookmarkStart w:id="587" w:name="xdx_406_eus-gaap--RevenueFromContractWit"/>
            <w:bookmarkEnd w:id="587"/>
          </w:p>
        </w:tc>
      </w:tr>
      <w:tr>
        <w:trPr/>
        <w:tc>
          <w:tcPr>
            <w:tcW w:w="3125"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102,175,246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124,292,811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88" w:name="xdx_98F_eus-gaap--RevenueFromContractWit"/>
            <w:bookmarkEnd w:id="588"/>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18,018,674</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589" w:name="xdx_8AF_zigwMvAgfz91"/>
      <w:bookmarkEnd w:id="589"/>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with amount of RMB</w:t>
      </w:r>
      <w:bookmarkStart w:id="590" w:name="xdx_90B_eus-gaap--Revenues_uRMB_c2024100"/>
      <w:bookmarkEnd w:id="590"/>
      <w:r>
        <w:rPr>
          <w:rFonts w:ascii="Times New Roman;Times;Serif" w:hAnsi="Times New Roman;Times;Serif"/>
          <w:b w:val="false"/>
          <w:i w:val="false"/>
          <w:caps w:val="false"/>
          <w:smallCaps w:val="false"/>
          <w:sz w:val="20"/>
        </w:rPr>
        <w:t>255,740 and RMB</w:t>
      </w:r>
      <w:bookmarkStart w:id="591" w:name="xdx_90E_eus-gaap--Revenues_uRMB_c2025100"/>
      <w:bookmarkEnd w:id="591"/>
      <w:r>
        <w:rPr>
          <w:rFonts w:ascii="Times New Roman;Times;Serif" w:hAnsi="Times New Roman;Times;Serif"/>
          <w:b w:val="false"/>
          <w:i w:val="false"/>
          <w:caps w:val="false"/>
          <w:smallCaps w:val="false"/>
          <w:sz w:val="20"/>
        </w:rPr>
        <w:t>844,757 were recognized in the six months ended March 31,,2025 and March 31,2026, respectively, which were included in the balance of contract liabilities at the beginning of each year. Remaining unsatisfied performance obligations that will be recognized as revenue by the Group within the following 12 months are RMB</w:t>
      </w:r>
      <w:bookmarkStart w:id="592" w:name="xdx_903_eus-gaap--RevenueRemainingPerfor"/>
      <w:bookmarkEnd w:id="592"/>
      <w:r>
        <w:rPr>
          <w:rFonts w:ascii="Times New Roman;Times;Serif" w:hAnsi="Times New Roman;Times;Serif"/>
          <w:b w:val="false"/>
          <w:i w:val="false"/>
          <w:caps w:val="false"/>
          <w:smallCaps w:val="false"/>
          <w:sz w:val="20"/>
        </w:rPr>
        <w:t>18,048,402 and RMB</w:t>
      </w:r>
      <w:bookmarkStart w:id="593" w:name="xdx_90C_eus-gaap--RevenueRemainingPerfor"/>
      <w:bookmarkEnd w:id="593"/>
      <w:r>
        <w:rPr>
          <w:rFonts w:ascii="Times New Roman;Times;Serif" w:hAnsi="Times New Roman;Times;Serif"/>
          <w:b w:val="false"/>
          <w:i w:val="false"/>
          <w:caps w:val="false"/>
          <w:smallCaps w:val="false"/>
          <w:sz w:val="20"/>
        </w:rPr>
        <w:t>36,541,289 of the remaining performance obligations as of March 31, 2025 and 2026, respectively, with the remainder recognized thereafter.</w:t>
      </w:r>
    </w:p>
    <w:p>
      <w:pPr>
        <w:pStyle w:val="TextBody"/>
        <w:bidi w:val="0"/>
        <w:ind w:left="72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II-17</w:t>
            </w:r>
          </w:p>
        </w:tc>
      </w:tr>
    </w:tbl>
    <w:p>
      <w:pPr>
        <w:pStyle w:val="TextBody"/>
        <w:bidi w:val="0"/>
        <w:spacing w:before="0" w:after="0"/>
        <w:ind w:left="0" w:right="0" w:hanging="0"/>
        <w:jc w:val="left"/>
        <w:rPr/>
      </w:pPr>
      <w:r>
        <w:rPr/>
        <w:t> </w:t>
      </w:r>
    </w:p>
    <w:p>
      <w:pPr>
        <w:pStyle w:val="TextBody"/>
        <w:bidi w:val="0"/>
        <w:ind w:left="72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15.</w:t>
            </w:r>
          </w:p>
        </w:tc>
        <w:tc>
          <w:tcPr>
            <w:tcW w:w="2180" w:type="dxa"/>
            <w:tcBorders/>
            <w:vAlign w:val="center"/>
          </w:tcPr>
          <w:p>
            <w:pPr>
              <w:pStyle w:val="TableContents"/>
              <w:bidi w:val="0"/>
              <w:spacing w:before="0" w:after="283"/>
              <w:jc w:val="left"/>
              <w:rPr>
                <w:rFonts w:ascii="Times New Roman;Times;Serif" w:hAnsi="Times New Roman;Times;Serif"/>
                <w:b/>
                <w:sz w:val="20"/>
              </w:rPr>
            </w:pPr>
            <w:bookmarkStart w:id="594" w:name="xdx_82F_zhXBR7DyXG28"/>
            <w:bookmarkEnd w:id="594"/>
            <w:r>
              <w:rPr>
                <w:rFonts w:ascii="Times New Roman;Times;Serif" w:hAnsi="Times New Roman;Times;Serif"/>
                <w:b/>
                <w:sz w:val="20"/>
              </w:rPr>
              <w:t>EMPLOYEE BENEFITS</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w:t>
      </w:r>
      <w:bookmarkStart w:id="595" w:name="xdx_908_eus-gaap--EmployeeBenefitsAndSha"/>
      <w:bookmarkEnd w:id="595"/>
      <w:r>
        <w:rPr>
          <w:rFonts w:ascii="Times New Roman;Times;Serif" w:hAnsi="Times New Roman;Times;Serif"/>
          <w:b w:val="false"/>
          <w:i w:val="false"/>
          <w:caps w:val="false"/>
          <w:smallCaps w:val="false"/>
          <w:sz w:val="20"/>
        </w:rPr>
        <w:t>621,329 and RMB</w:t>
      </w:r>
      <w:bookmarkStart w:id="596" w:name="xdx_909_eus-gaap--EmployeeBenefitsAndSha"/>
      <w:bookmarkEnd w:id="596"/>
      <w:r>
        <w:rPr>
          <w:rFonts w:ascii="Times New Roman;Times;Serif" w:hAnsi="Times New Roman;Times;Serif"/>
          <w:b w:val="false"/>
          <w:i w:val="false"/>
          <w:caps w:val="false"/>
          <w:smallCaps w:val="false"/>
          <w:sz w:val="20"/>
        </w:rPr>
        <w:t>565,612 for the six months ended March 31, 2025 and 2026, respectively.</w:t>
      </w:r>
    </w:p>
    <w:p>
      <w:pPr>
        <w:pStyle w:val="TextBody"/>
        <w:bidi w:val="0"/>
        <w:ind w:left="720" w:right="0" w:hanging="0"/>
        <w:jc w:val="both"/>
        <w:rPr>
          <w:caps w:val="false"/>
          <w:smallCaps w:val="false"/>
        </w:rPr>
      </w:pPr>
      <w:bookmarkStart w:id="597" w:name="xdx_805_eus-gaap--EarningsPerShareTextBl"/>
      <w:bookmarkEnd w:id="597"/>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90"/>
        <w:gridCol w:w="243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16.</w:t>
            </w:r>
          </w:p>
        </w:tc>
        <w:tc>
          <w:tcPr>
            <w:tcW w:w="2435" w:type="dxa"/>
            <w:tcBorders/>
            <w:vAlign w:val="center"/>
          </w:tcPr>
          <w:p>
            <w:pPr>
              <w:pStyle w:val="TableContents"/>
              <w:bidi w:val="0"/>
              <w:spacing w:before="0" w:after="283"/>
              <w:jc w:val="left"/>
              <w:rPr>
                <w:rFonts w:ascii="Times New Roman;Times;Serif" w:hAnsi="Times New Roman;Times;Serif"/>
                <w:b/>
                <w:sz w:val="20"/>
              </w:rPr>
            </w:pPr>
            <w:bookmarkStart w:id="598" w:name="xdx_82A_zsFh9ZThSy3f"/>
            <w:bookmarkEnd w:id="598"/>
            <w:r>
              <w:rPr>
                <w:rFonts w:ascii="Times New Roman;Times;Serif" w:hAnsi="Times New Roman;Times;Serif"/>
                <w:b/>
                <w:sz w:val="20"/>
              </w:rPr>
              <w:t>NET INCOME PER SHARE</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599" w:name="xdx_898_eus-gaap--ScheduleOfEarningsPerS"/>
      <w:bookmarkEnd w:id="599"/>
      <w:r>
        <w:rPr>
          <w:rFonts w:ascii="Times New Roman;Times;Serif" w:hAnsi="Times New Roman;Times;Serif"/>
          <w:b w:val="false"/>
          <w:i w:val="false"/>
          <w:caps w:val="false"/>
          <w:smallCaps w:val="false"/>
          <w:sz w:val="20"/>
        </w:rPr>
        <w:t>For the purpose of calculating net income per share, the number of shares used in the calculation reflects the outstanding shares of the Company as if the Reorganization as described in Note 1 took place at the earliest period presented.</w:t>
      </w:r>
    </w:p>
    <w:p>
      <w:pPr>
        <w:pStyle w:val="TextBody"/>
        <w:bidi w:val="0"/>
        <w:jc w:val="center"/>
        <w:rPr>
          <w:rFonts w:ascii="Times New Roman;Times;Serif" w:hAnsi="Times New Roman;Times;Serif"/>
          <w:b w:val="false"/>
          <w:i w:val="false"/>
          <w:caps w:val="false"/>
          <w:smallCaps w:val="false"/>
          <w:sz w:val="20"/>
        </w:rPr>
      </w:pPr>
      <w:bookmarkStart w:id="600" w:name="xdx_8BF_zzL58ACPez55"/>
      <w:bookmarkEnd w:id="600"/>
      <w:r>
        <w:rPr>
          <w:rFonts w:ascii="Times New Roman;Times;Serif" w:hAnsi="Times New Roman;Times;Serif"/>
          <w:b w:val="false"/>
          <w:i w:val="false"/>
          <w:caps w:val="false"/>
          <w:smallCaps w:val="false"/>
          <w:sz w:val="20"/>
        </w:rPr>
        <w:t>SCHEDULE OF CALCULATING NET INCOME PER SHARE </w:t>
      </w:r>
    </w:p>
    <w:tbl>
      <w:tblPr>
        <w:tblW w:w="9590" w:type="dxa"/>
        <w:jc w:val="left"/>
        <w:tblInd w:w="0" w:type="dxa"/>
        <w:tblLayout w:type="fixed"/>
        <w:tblCellMar>
          <w:top w:w="0" w:type="dxa"/>
          <w:left w:w="0" w:type="dxa"/>
          <w:bottom w:w="0" w:type="dxa"/>
          <w:right w:w="0" w:type="dxa"/>
        </w:tblCellMar>
      </w:tblPr>
      <w:tblGrid>
        <w:gridCol w:w="6185"/>
        <w:gridCol w:w="60"/>
        <w:gridCol w:w="60"/>
        <w:gridCol w:w="950"/>
        <w:gridCol w:w="60"/>
        <w:gridCol w:w="60"/>
        <w:gridCol w:w="60"/>
        <w:gridCol w:w="950"/>
        <w:gridCol w:w="60"/>
        <w:gridCol w:w="60"/>
        <w:gridCol w:w="60"/>
        <w:gridCol w:w="950"/>
        <w:gridCol w:w="75"/>
      </w:tblGrid>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1" w:name="xdx_499_20241001__20250930_zImhn032ssjh"/>
            <w:bookmarkEnd w:id="601"/>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2" w:name="xdx_49E_20251001__20260331_zM9nYOmtR6Lb"/>
            <w:bookmarkEnd w:id="602"/>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March 3l,</w:t>
            </w:r>
          </w:p>
        </w:tc>
        <w:tc>
          <w:tcPr>
            <w:tcW w:w="7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Numerator:</w:t>
            </w:r>
          </w:p>
        </w:tc>
        <w:tc>
          <w:tcPr>
            <w:tcW w:w="60" w:type="dxa"/>
            <w:tcBorders/>
            <w:shd w:fill="CCEEFF" w:val="clear"/>
            <w:vAlign w:val="center"/>
          </w:tcPr>
          <w:p>
            <w:pPr>
              <w:pStyle w:val="TableContents"/>
              <w:bidi w:val="0"/>
              <w:spacing w:before="0" w:after="283"/>
              <w:jc w:val="left"/>
              <w:rPr/>
            </w:pPr>
            <w:r>
              <w:rPr/>
              <w:t> </w:t>
            </w:r>
          </w:p>
        </w:tc>
        <w:tc>
          <w:tcPr>
            <w:tcW w:w="101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03" w:name="xdx_402_eus-gaap--NetIncomeLoss_zaLENNi5"/>
            <w:bookmarkEnd w:id="603"/>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attributable to ordinary shareholders of Julong Holding Limited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11,566,664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11,659,229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04" w:name="xdx_982_eus-gaap--NetIncomeLoss_uUSD_c20"/>
            <w:bookmarkEnd w:id="604"/>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1,690,233</w:t>
            </w:r>
          </w:p>
        </w:tc>
        <w:tc>
          <w:tcPr>
            <w:tcW w:w="7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number of ordinary shares outstanding-basic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bookmarkStart w:id="605" w:name="xdx_900_eus-gaap--WeightedAverageNumberO"/>
            <w:bookmarkStart w:id="606" w:name="xdx_908_eus-gaap--WeightedAverageNumberO"/>
            <w:bookmarkEnd w:id="605"/>
            <w:bookmarkEnd w:id="606"/>
            <w:r>
              <w:rPr>
                <w:rFonts w:ascii="Times New Roman;Times;Serif" w:hAnsi="Times New Roman;Times;Serif"/>
                <w:sz w:val="20"/>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bookmarkStart w:id="607" w:name="xdx_906_eus-gaap--WeightedAverageNumberO"/>
            <w:bookmarkStart w:id="608" w:name="xdx_90C_eus-gaap--WeightedAverageNumberO"/>
            <w:bookmarkEnd w:id="607"/>
            <w:bookmarkEnd w:id="608"/>
            <w:r>
              <w:rPr>
                <w:rFonts w:ascii="Times New Roman;Times;Serif" w:hAnsi="Times New Roman;Times;Serif"/>
                <w:sz w:val="20"/>
              </w:rPr>
              <w:t>21,448,632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bookmarkStart w:id="609" w:name="xdx_90C_eus-gaap--WeightedAverageNumberO"/>
            <w:bookmarkStart w:id="610" w:name="xdx_901_eus-gaap--WeightedAverageNumberO"/>
            <w:bookmarkEnd w:id="609"/>
            <w:bookmarkEnd w:id="610"/>
            <w:r>
              <w:rPr>
                <w:rFonts w:ascii="Times New Roman;Times;Serif" w:hAnsi="Times New Roman;Times;Serif"/>
                <w:sz w:val="20"/>
              </w:rPr>
              <w:t>21,448,632</w:t>
            </w:r>
          </w:p>
        </w:tc>
        <w:tc>
          <w:tcPr>
            <w:tcW w:w="7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net income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bookmarkStart w:id="611" w:name="xdx_900_eus-gaap--EarningsPerShareDilute"/>
            <w:bookmarkStart w:id="612" w:name="xdx_908_eus-gaap--EarningsPerShareBasic_"/>
            <w:bookmarkEnd w:id="611"/>
            <w:bookmarkEnd w:id="612"/>
            <w:r>
              <w:rPr>
                <w:rFonts w:ascii="Times New Roman;Times;Serif" w:hAnsi="Times New Roman;Times;Serif"/>
                <w:sz w:val="20"/>
              </w:rPr>
              <w:t>0.58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bookmarkStart w:id="613" w:name="xdx_90F_eus-gaap--EarningsPerShareDilute"/>
            <w:bookmarkEnd w:id="613"/>
            <w:r>
              <w:rPr>
                <w:rFonts w:ascii="Times New Roman;Times;Serif" w:hAnsi="Times New Roman;Times;Serif"/>
                <w:sz w:val="20"/>
              </w:rPr>
              <w:t>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bookmarkStart w:id="614" w:name="xdx_90D_eus-gaap--EarningsPerShareDilute"/>
            <w:bookmarkStart w:id="615" w:name="xdx_909_eus-gaap--EarningsPerShareBasic_"/>
            <w:bookmarkEnd w:id="614"/>
            <w:bookmarkEnd w:id="615"/>
            <w:r>
              <w:rPr>
                <w:rFonts w:ascii="Times New Roman;Times;Serif" w:hAnsi="Times New Roman;Times;Serif"/>
                <w:sz w:val="20"/>
              </w:rPr>
              <w:t>0.08</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616" w:name="xdx_8AB_zeSLWfvkNl9c"/>
      <w:bookmarkEnd w:id="616"/>
      <w:r>
        <w:rPr>
          <w:caps w:val="false"/>
          <w:smallCaps w:val="false"/>
        </w:rPr>
        <w:t> </w:t>
      </w:r>
    </w:p>
    <w:p>
      <w:pPr>
        <w:pStyle w:val="TextBody"/>
        <w:bidi w:val="0"/>
        <w:jc w:val="left"/>
        <w:rPr>
          <w:caps w:val="false"/>
          <w:smallCaps w:val="false"/>
        </w:rPr>
      </w:pPr>
      <w:bookmarkStart w:id="617" w:name="xdx_802_eus-gaap--RelatedPartyTransactio"/>
      <w:bookmarkEnd w:id="617"/>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90"/>
        <w:gridCol w:w="314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17.</w:t>
            </w:r>
          </w:p>
        </w:tc>
        <w:tc>
          <w:tcPr>
            <w:tcW w:w="3140" w:type="dxa"/>
            <w:tcBorders/>
            <w:vAlign w:val="center"/>
          </w:tcPr>
          <w:p>
            <w:pPr>
              <w:pStyle w:val="TableContents"/>
              <w:bidi w:val="0"/>
              <w:spacing w:before="0" w:after="283"/>
              <w:jc w:val="left"/>
              <w:rPr>
                <w:rFonts w:ascii="Times New Roman;Times;Serif" w:hAnsi="Times New Roman;Times;Serif"/>
                <w:b/>
                <w:sz w:val="20"/>
              </w:rPr>
            </w:pPr>
            <w:bookmarkStart w:id="618" w:name="xdx_82B_z8mg5x9R0vKc"/>
            <w:bookmarkEnd w:id="618"/>
            <w:r>
              <w:rPr>
                <w:rFonts w:ascii="Times New Roman;Times;Serif" w:hAnsi="Times New Roman;Times;Serif"/>
                <w:b/>
                <w:sz w:val="20"/>
              </w:rPr>
              <w:t>RELATED PARTY TRANSACTION</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bookmarkStart w:id="619" w:name="xdx_89E_ecustom--ScheduleOfMajorRelatedP"/>
      <w:bookmarkEnd w:id="619"/>
      <w:r>
        <w:rPr>
          <w:rFonts w:ascii="Times New Roman;Times;Serif" w:hAnsi="Times New Roman;Times;Serif"/>
          <w:b w:val="false"/>
          <w:i w:val="false"/>
          <w:caps w:val="false"/>
          <w:smallCaps w:val="false"/>
          <w:sz w:val="20"/>
        </w:rPr>
        <w:t>Major related parties that transacted with the Group and their respective relationship to the Group are listed as below:</w:t>
      </w:r>
    </w:p>
    <w:p>
      <w:pPr>
        <w:pStyle w:val="TextBody"/>
        <w:bidi w:val="0"/>
        <w:jc w:val="center"/>
        <w:rPr>
          <w:rFonts w:ascii="Times New Roman;Times;Serif" w:hAnsi="Times New Roman;Times;Serif"/>
          <w:b w:val="false"/>
          <w:i w:val="false"/>
          <w:caps w:val="false"/>
          <w:smallCaps w:val="false"/>
          <w:sz w:val="20"/>
        </w:rPr>
      </w:pPr>
      <w:bookmarkStart w:id="620" w:name="xdx_8BA_zylFXk98nVW1"/>
      <w:bookmarkEnd w:id="620"/>
      <w:r>
        <w:rPr>
          <w:rFonts w:ascii="Times New Roman;Times;Serif" w:hAnsi="Times New Roman;Times;Serif"/>
          <w:b w:val="false"/>
          <w:i w:val="false"/>
          <w:caps w:val="false"/>
          <w:smallCaps w:val="false"/>
          <w:sz w:val="20"/>
        </w:rPr>
        <w:t>SCHEDULE OF MAJOR RELATED PARTIES AND THEIR RESPECTIVE RELATIONSHIP  </w:t>
      </w:r>
    </w:p>
    <w:tbl>
      <w:tblPr>
        <w:tblW w:w="7825" w:type="dxa"/>
        <w:jc w:val="left"/>
        <w:tblInd w:w="0" w:type="dxa"/>
        <w:tblLayout w:type="fixed"/>
        <w:tblCellMar>
          <w:top w:w="0" w:type="dxa"/>
          <w:left w:w="0" w:type="dxa"/>
          <w:bottom w:w="28" w:type="dxa"/>
          <w:right w:w="0" w:type="dxa"/>
        </w:tblCellMar>
      </w:tblPr>
      <w:tblGrid>
        <w:gridCol w:w="5075"/>
        <w:gridCol w:w="60"/>
        <w:gridCol w:w="2690"/>
      </w:tblGrid>
      <w:tr>
        <w:trPr/>
        <w:tc>
          <w:tcPr>
            <w:tcW w:w="507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 of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Relationship with the Group</w:t>
            </w:r>
          </w:p>
        </w:tc>
      </w:tr>
      <w:tr>
        <w:trPr/>
        <w:tc>
          <w:tcPr>
            <w:tcW w:w="50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Beijing Yihai Construction Engineering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621" w:name="xdx_90E_eus-gaap--RestructuringAndRelate"/>
            <w:bookmarkEnd w:id="621"/>
            <w:r>
              <w:rPr>
                <w:rFonts w:ascii="Times New Roman;Times;Serif" w:hAnsi="Times New Roman;Times;Serif"/>
                <w:sz w:val="20"/>
              </w:rPr>
              <w:t>Company controlled by Hu Jiaqi</w:t>
            </w:r>
          </w:p>
        </w:tc>
      </w:tr>
      <w:tr>
        <w:trPr/>
        <w:tc>
          <w:tcPr>
            <w:tcW w:w="50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Jianlei International Decoration Engineering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bookmarkStart w:id="622" w:name="xdx_901_eus-gaap--RestructuringAndRelate"/>
            <w:bookmarkEnd w:id="622"/>
            <w:r>
              <w:rPr>
                <w:rFonts w:ascii="Times New Roman;Times;Serif" w:hAnsi="Times New Roman;Times;Serif"/>
                <w:sz w:val="20"/>
              </w:rPr>
              <w:t>Company controlled by Hu Jiaqi</w:t>
            </w:r>
          </w:p>
        </w:tc>
      </w:tr>
      <w:tr>
        <w:trPr/>
        <w:tc>
          <w:tcPr>
            <w:tcW w:w="50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Huiju Tianxia Investment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bookmarkStart w:id="623" w:name="xdx_902_eus-gaap--RestructuringAndRelate"/>
            <w:bookmarkEnd w:id="623"/>
            <w:r>
              <w:rPr>
                <w:rFonts w:ascii="Times New Roman;Times;Serif" w:hAnsi="Times New Roman;Times;Serif"/>
                <w:sz w:val="20"/>
              </w:rPr>
              <w:t>Company controlled by Hu Jiaqi</w:t>
            </w:r>
          </w:p>
        </w:tc>
      </w:tr>
    </w:tbl>
    <w:p>
      <w:pPr>
        <w:pStyle w:val="TextBody"/>
        <w:bidi w:val="0"/>
        <w:jc w:val="center"/>
        <w:rPr>
          <w:caps w:val="false"/>
          <w:smallCaps w:val="false"/>
        </w:rPr>
      </w:pPr>
      <w:bookmarkStart w:id="624" w:name="xdx_8A0_z7Z9BXEnSoHc"/>
      <w:bookmarkEnd w:id="624"/>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625" w:name="xdx_8BC_zhJvl8vDTeW"/>
      <w:bookmarkStart w:id="626" w:name="xdx_89A_eus-gaap--ScheduleOfRelatedParty"/>
      <w:bookmarkEnd w:id="625"/>
      <w:bookmarkEnd w:id="626"/>
      <w:r>
        <w:rPr>
          <w:rFonts w:ascii="Times New Roman;Times;Serif" w:hAnsi="Times New Roman;Times;Serif"/>
          <w:b w:val="false"/>
          <w:i w:val="false"/>
          <w:caps w:val="false"/>
          <w:smallCaps w:val="false"/>
          <w:sz w:val="20"/>
        </w:rPr>
        <w:t>SCHEDULE OF RELATED PARTIES TRANSACTION  </w:t>
      </w:r>
    </w:p>
    <w:tbl>
      <w:tblPr>
        <w:tblW w:w="10205" w:type="dxa"/>
        <w:jc w:val="left"/>
        <w:tblInd w:w="0" w:type="dxa"/>
        <w:tblLayout w:type="fixed"/>
        <w:tblCellMar>
          <w:top w:w="0" w:type="dxa"/>
          <w:left w:w="0" w:type="dxa"/>
          <w:bottom w:w="0" w:type="dxa"/>
          <w:right w:w="0" w:type="dxa"/>
        </w:tblCellMar>
      </w:tblPr>
      <w:tblGrid>
        <w:gridCol w:w="3628"/>
        <w:gridCol w:w="60"/>
        <w:gridCol w:w="3216"/>
        <w:gridCol w:w="60"/>
        <w:gridCol w:w="60"/>
        <w:gridCol w:w="950"/>
        <w:gridCol w:w="60"/>
        <w:gridCol w:w="60"/>
        <w:gridCol w:w="60"/>
        <w:gridCol w:w="950"/>
        <w:gridCol w:w="60"/>
        <w:gridCol w:w="60"/>
        <w:gridCol w:w="60"/>
        <w:gridCol w:w="845"/>
        <w:gridCol w:w="76"/>
      </w:tblGrid>
      <w:tr>
        <w:trPr/>
        <w:tc>
          <w:tcPr>
            <w:tcW w:w="36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27" w:name="xdx_492_20241001__20250331_zZbgnUqtySz7"/>
            <w:bookmarkEnd w:id="627"/>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8" w:name="xdx_49A_20251001__20260331_zQ83x5lotNj4"/>
            <w:bookmarkEnd w:id="628"/>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6" w:type="dxa"/>
            <w:tcBorders/>
            <w:vAlign w:val="center"/>
          </w:tcPr>
          <w:p>
            <w:pPr>
              <w:pStyle w:val="TableContents"/>
              <w:bidi w:val="0"/>
              <w:spacing w:before="0" w:after="283"/>
              <w:jc w:val="left"/>
              <w:rPr/>
            </w:pPr>
            <w:r>
              <w:rPr/>
              <w:t> </w:t>
            </w:r>
          </w:p>
        </w:tc>
      </w:tr>
      <w:tr>
        <w:trPr/>
        <w:tc>
          <w:tcPr>
            <w:tcW w:w="36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March 3l,</w:t>
            </w:r>
          </w:p>
        </w:tc>
        <w:tc>
          <w:tcPr>
            <w:tcW w:w="76" w:type="dxa"/>
            <w:tcBorders/>
            <w:vAlign w:val="center"/>
          </w:tcPr>
          <w:p>
            <w:pPr>
              <w:pStyle w:val="TableContents"/>
              <w:bidi w:val="0"/>
              <w:spacing w:before="0" w:after="283"/>
              <w:jc w:val="left"/>
              <w:rPr/>
            </w:pPr>
            <w:r>
              <w:rPr/>
              <w:t> </w:t>
            </w:r>
          </w:p>
        </w:tc>
      </w:tr>
      <w:tr>
        <w:trPr/>
        <w:tc>
          <w:tcPr>
            <w:tcW w:w="36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Nature of transactions</w:t>
            </w:r>
          </w:p>
        </w:tc>
        <w:tc>
          <w:tcPr>
            <w:tcW w:w="60" w:type="dxa"/>
            <w:tcBorders/>
            <w:vAlign w:val="center"/>
          </w:tcPr>
          <w:p>
            <w:pPr>
              <w:pStyle w:val="TableContents"/>
              <w:bidi w:val="0"/>
              <w:spacing w:before="0" w:after="283"/>
              <w:jc w:val="left"/>
              <w:rPr/>
            </w:pPr>
            <w:r>
              <w:rPr/>
              <w:t> </w:t>
            </w:r>
          </w:p>
        </w:tc>
        <w:tc>
          <w:tcPr>
            <w:tcW w:w="32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Related party</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6" w:type="dxa"/>
            <w:tcBorders/>
            <w:vAlign w:val="center"/>
          </w:tcPr>
          <w:p>
            <w:pPr>
              <w:pStyle w:val="TableContents"/>
              <w:bidi w:val="0"/>
              <w:spacing w:before="0" w:after="283"/>
              <w:jc w:val="left"/>
              <w:rPr/>
            </w:pPr>
            <w:r>
              <w:rPr/>
              <w:t> </w:t>
            </w:r>
          </w:p>
        </w:tc>
      </w:tr>
      <w:tr>
        <w:trPr/>
        <w:tc>
          <w:tcPr>
            <w:tcW w:w="36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6" w:type="dxa"/>
            <w:tcBorders/>
            <w:vAlign w:val="center"/>
          </w:tcPr>
          <w:p>
            <w:pPr>
              <w:pStyle w:val="TableContents"/>
              <w:bidi w:val="0"/>
              <w:spacing w:before="0" w:after="283"/>
              <w:jc w:val="left"/>
              <w:rPr/>
            </w:pPr>
            <w:r>
              <w:rPr/>
              <w:t> </w:t>
            </w:r>
            <w:bookmarkStart w:id="629" w:name="xdx_406_eus-gaap--RelatedPartyTransactio"/>
            <w:bookmarkEnd w:id="629"/>
          </w:p>
        </w:tc>
      </w:tr>
      <w:tr>
        <w:trPr/>
        <w:tc>
          <w:tcPr>
            <w:tcW w:w="36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 from engineering solutions and services of intelligent projects</w:t>
            </w:r>
          </w:p>
        </w:tc>
        <w:tc>
          <w:tcPr>
            <w:tcW w:w="60" w:type="dxa"/>
            <w:tcBorders/>
            <w:shd w:fill="CCEEFF" w:val="clear"/>
            <w:vAlign w:val="center"/>
          </w:tcPr>
          <w:p>
            <w:pPr>
              <w:pStyle w:val="TableContents"/>
              <w:bidi w:val="0"/>
              <w:spacing w:before="0" w:after="283"/>
              <w:jc w:val="left"/>
              <w:rPr/>
            </w:pPr>
            <w:r>
              <w:rPr/>
              <w:t> </w:t>
            </w:r>
          </w:p>
        </w:tc>
        <w:tc>
          <w:tcPr>
            <w:tcW w:w="32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Jianlei International Decoration Engineering Co., Ltd.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42,257,767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63,792,598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0" w:name="xdx_981_eus-gaap--RelatedPartyTransactio"/>
            <w:bookmarkEnd w:id="630"/>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9,247,985</w:t>
            </w:r>
          </w:p>
        </w:tc>
        <w:tc>
          <w:tcPr>
            <w:tcW w:w="76" w:type="dxa"/>
            <w:tcBorders/>
            <w:shd w:fill="CCEEFF" w:val="clear"/>
            <w:vAlign w:val="center"/>
          </w:tcPr>
          <w:p>
            <w:pPr>
              <w:pStyle w:val="TableContents"/>
              <w:bidi w:val="0"/>
              <w:spacing w:before="0" w:after="283"/>
              <w:jc w:val="left"/>
              <w:rPr/>
            </w:pPr>
            <w:r>
              <w:rPr/>
              <w:t> </w:t>
            </w:r>
            <w:bookmarkStart w:id="631" w:name="xdx_40B_eus-gaap--RelatedPartyTransactio"/>
            <w:bookmarkEnd w:id="631"/>
          </w:p>
        </w:tc>
      </w:tr>
      <w:tr>
        <w:trPr/>
        <w:tc>
          <w:tcPr>
            <w:tcW w:w="362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32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42,257,767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63,792,598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32" w:name="xdx_98F_eus-gaap--RelatedPartyTransactio"/>
            <w:bookmarkEnd w:id="632"/>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9,247,985</w:t>
            </w:r>
          </w:p>
        </w:tc>
        <w:tc>
          <w:tcPr>
            <w:tcW w:w="76"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8558" w:type="dxa"/>
        <w:jc w:val="left"/>
        <w:tblInd w:w="0" w:type="dxa"/>
        <w:tblLayout w:type="fixed"/>
        <w:tblCellMar>
          <w:top w:w="0" w:type="dxa"/>
          <w:left w:w="0" w:type="dxa"/>
          <w:bottom w:w="0" w:type="dxa"/>
          <w:right w:w="0" w:type="dxa"/>
        </w:tblCellMar>
      </w:tblPr>
      <w:tblGrid>
        <w:gridCol w:w="1910"/>
        <w:gridCol w:w="60"/>
        <w:gridCol w:w="4040"/>
        <w:gridCol w:w="60"/>
        <w:gridCol w:w="69"/>
        <w:gridCol w:w="684"/>
        <w:gridCol w:w="69"/>
        <w:gridCol w:w="69"/>
        <w:gridCol w:w="69"/>
        <w:gridCol w:w="684"/>
        <w:gridCol w:w="69"/>
        <w:gridCol w:w="69"/>
        <w:gridCol w:w="69"/>
        <w:gridCol w:w="562"/>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3" w:name="xdx_496_20241001__20250331_zO8dwOq3W2Yd"/>
            <w:bookmarkEnd w:id="633"/>
          </w:p>
        </w:tc>
        <w:tc>
          <w:tcPr>
            <w:tcW w:w="75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634" w:name="xdx_497_20251001__20260331_zQCt7gyPYn4j"/>
            <w:bookmarkEnd w:id="634"/>
          </w:p>
        </w:tc>
        <w:tc>
          <w:tcPr>
            <w:tcW w:w="75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3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March 3l,</w:t>
            </w:r>
          </w:p>
        </w:tc>
        <w:tc>
          <w:tcPr>
            <w:tcW w:w="75"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Nature of transactions</w:t>
            </w:r>
          </w:p>
        </w:tc>
        <w:tc>
          <w:tcPr>
            <w:tcW w:w="60" w:type="dxa"/>
            <w:tcBorders/>
            <w:vAlign w:val="center"/>
          </w:tcPr>
          <w:p>
            <w:pPr>
              <w:pStyle w:val="TableContents"/>
              <w:bidi w:val="0"/>
              <w:spacing w:before="0" w:after="283"/>
              <w:jc w:val="left"/>
              <w:rPr/>
            </w:pPr>
            <w:r>
              <w:rPr/>
              <w:t> </w:t>
            </w:r>
          </w:p>
        </w:tc>
        <w:tc>
          <w:tcPr>
            <w:tcW w:w="40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Related party</w:t>
            </w:r>
          </w:p>
        </w:tc>
        <w:tc>
          <w:tcPr>
            <w:tcW w:w="60" w:type="dxa"/>
            <w:tcBorders/>
            <w:vAlign w:val="center"/>
          </w:tcPr>
          <w:p>
            <w:pPr>
              <w:pStyle w:val="TableContents"/>
              <w:bidi w:val="0"/>
              <w:spacing w:before="0" w:after="283"/>
              <w:jc w:val="left"/>
              <w:rPr/>
            </w:pPr>
            <w:r>
              <w:rPr/>
              <w:t> </w:t>
            </w:r>
          </w:p>
        </w:tc>
        <w:tc>
          <w:tcPr>
            <w:tcW w:w="7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5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5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3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5" w:type="dxa"/>
            <w:tcBorders/>
            <w:vAlign w:val="center"/>
          </w:tcPr>
          <w:p>
            <w:pPr>
              <w:pStyle w:val="TableContents"/>
              <w:bidi w:val="0"/>
              <w:spacing w:before="0" w:after="283"/>
              <w:jc w:val="left"/>
              <w:rPr/>
            </w:pPr>
            <w:r>
              <w:rPr/>
              <w:t> </w:t>
            </w:r>
            <w:bookmarkStart w:id="635" w:name="xdx_40E_eus-gaap--RelatedPartyTransactio"/>
            <w:bookmarkEnd w:id="635"/>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services</w:t>
            </w:r>
          </w:p>
        </w:tc>
        <w:tc>
          <w:tcPr>
            <w:tcW w:w="60" w:type="dxa"/>
            <w:tcBorders/>
            <w:shd w:fill="CCEEFF" w:val="clear"/>
            <w:vAlign w:val="center"/>
          </w:tcPr>
          <w:p>
            <w:pPr>
              <w:pStyle w:val="TableContents"/>
              <w:bidi w:val="0"/>
              <w:spacing w:before="0" w:after="283"/>
              <w:jc w:val="left"/>
              <w:rPr/>
            </w:pPr>
            <w:r>
              <w:rPr/>
              <w:t> </w:t>
            </w:r>
          </w:p>
        </w:tc>
        <w:tc>
          <w:tcPr>
            <w:tcW w:w="4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Yihai Construction Engineering Co., Ltd.</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57,940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57,940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6" w:name="xdx_98A_eus-gaap--RelatedPartyTransactio"/>
            <w:bookmarkEnd w:id="636"/>
          </w:p>
        </w:tc>
        <w:tc>
          <w:tcPr>
            <w:tcW w:w="5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75" w:type="dxa"/>
            <w:tcBorders/>
            <w:shd w:fill="CCEEFF" w:val="clear"/>
            <w:vAlign w:val="center"/>
          </w:tcPr>
          <w:p>
            <w:pPr>
              <w:pStyle w:val="TableContents"/>
              <w:bidi w:val="0"/>
              <w:spacing w:before="0" w:after="283"/>
              <w:jc w:val="left"/>
              <w:rPr/>
            </w:pPr>
            <w:r>
              <w:rPr/>
              <w:t> </w:t>
            </w:r>
            <w:bookmarkStart w:id="637" w:name="xdx_402_eus-gaap--RelatedPartyTransactio"/>
            <w:bookmarkEnd w:id="637"/>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57,940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57,940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38" w:name="xdx_98D_eus-gaap--RelatedPartyTransactio"/>
            <w:bookmarkEnd w:id="638"/>
          </w:p>
        </w:tc>
        <w:tc>
          <w:tcPr>
            <w:tcW w:w="5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8,400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7"/>
        <w:gridCol w:w="60"/>
        <w:gridCol w:w="3379"/>
        <w:gridCol w:w="60"/>
        <w:gridCol w:w="88"/>
        <w:gridCol w:w="1273"/>
        <w:gridCol w:w="60"/>
        <w:gridCol w:w="60"/>
        <w:gridCol w:w="60"/>
        <w:gridCol w:w="845"/>
        <w:gridCol w:w="60"/>
        <w:gridCol w:w="60"/>
        <w:gridCol w:w="60"/>
        <w:gridCol w:w="695"/>
        <w:gridCol w:w="78"/>
      </w:tblGrid>
      <w:tr>
        <w:trPr/>
        <w:tc>
          <w:tcPr>
            <w:tcW w:w="33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9" w:name="xdx_49B_20250930_zG0Cdzcd19b9"/>
            <w:bookmarkEnd w:id="639"/>
          </w:p>
        </w:tc>
        <w:tc>
          <w:tcPr>
            <w:tcW w:w="1361"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0" w:name="xdx_497_20260331_ziGVpdjEWSVk"/>
            <w:bookmarkEnd w:id="640"/>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USD</w:t>
            </w:r>
          </w:p>
        </w:tc>
        <w:tc>
          <w:tcPr>
            <w:tcW w:w="78" w:type="dxa"/>
            <w:tcBorders/>
            <w:vAlign w:val="center"/>
          </w:tcPr>
          <w:p>
            <w:pPr>
              <w:pStyle w:val="TableContents"/>
              <w:bidi w:val="0"/>
              <w:spacing w:before="0" w:after="283"/>
              <w:jc w:val="left"/>
              <w:rPr/>
            </w:pPr>
            <w:r>
              <w:rPr/>
              <w:t> </w:t>
            </w:r>
          </w:p>
        </w:tc>
      </w:tr>
      <w:tr>
        <w:trPr/>
        <w:tc>
          <w:tcPr>
            <w:tcW w:w="336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Nature of balance</w:t>
            </w:r>
          </w:p>
        </w:tc>
        <w:tc>
          <w:tcPr>
            <w:tcW w:w="60" w:type="dxa"/>
            <w:tcBorders/>
            <w:vAlign w:val="center"/>
          </w:tcPr>
          <w:p>
            <w:pPr>
              <w:pStyle w:val="TableContents"/>
              <w:bidi w:val="0"/>
              <w:spacing w:before="0" w:after="283"/>
              <w:jc w:val="left"/>
              <w:rPr/>
            </w:pPr>
            <w:r>
              <w:rPr/>
              <w:t> </w:t>
            </w:r>
          </w:p>
        </w:tc>
        <w:tc>
          <w:tcPr>
            <w:tcW w:w="337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Related party</w:t>
            </w:r>
          </w:p>
        </w:tc>
        <w:tc>
          <w:tcPr>
            <w:tcW w:w="60" w:type="dxa"/>
            <w:tcBorders/>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March 31, 2026</w:t>
            </w:r>
          </w:p>
        </w:tc>
        <w:tc>
          <w:tcPr>
            <w:tcW w:w="78" w:type="dxa"/>
            <w:tcBorders/>
            <w:vAlign w:val="center"/>
          </w:tcPr>
          <w:p>
            <w:pPr>
              <w:pStyle w:val="TableContents"/>
              <w:bidi w:val="0"/>
              <w:spacing w:before="0" w:after="283"/>
              <w:jc w:val="left"/>
              <w:rPr/>
            </w:pPr>
            <w:r>
              <w:rPr/>
              <w:t> </w:t>
            </w:r>
          </w:p>
        </w:tc>
      </w:tr>
      <w:tr>
        <w:trPr/>
        <w:tc>
          <w:tcPr>
            <w:tcW w:w="33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USD</w:t>
            </w:r>
          </w:p>
        </w:tc>
        <w:tc>
          <w:tcPr>
            <w:tcW w:w="78" w:type="dxa"/>
            <w:tcBorders/>
            <w:vAlign w:val="center"/>
          </w:tcPr>
          <w:p>
            <w:pPr>
              <w:pStyle w:val="TableContents"/>
              <w:bidi w:val="0"/>
              <w:spacing w:before="0" w:after="283"/>
              <w:jc w:val="left"/>
              <w:rPr/>
            </w:pPr>
            <w:r>
              <w:rPr/>
              <w:t> </w:t>
            </w:r>
            <w:bookmarkStart w:id="641" w:name="xdx_40C_eus-gaap--OtherReceivables_iI_hu"/>
            <w:bookmarkEnd w:id="641"/>
          </w:p>
        </w:tc>
      </w:tr>
      <w:tr>
        <w:trPr/>
        <w:tc>
          <w:tcPr>
            <w:tcW w:w="33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from related parties relating to operating activities</w:t>
            </w:r>
          </w:p>
        </w:tc>
        <w:tc>
          <w:tcPr>
            <w:tcW w:w="60" w:type="dxa"/>
            <w:tcBorders/>
            <w:shd w:fill="CCEEFF" w:val="clear"/>
            <w:vAlign w:val="center"/>
          </w:tcPr>
          <w:p>
            <w:pPr>
              <w:pStyle w:val="TableContents"/>
              <w:bidi w:val="0"/>
              <w:spacing w:before="0" w:after="283"/>
              <w:jc w:val="left"/>
              <w:rPr/>
            </w:pPr>
            <w:r>
              <w:rPr/>
              <w:t> </w:t>
            </w:r>
          </w:p>
        </w:tc>
        <w:tc>
          <w:tcPr>
            <w:tcW w:w="33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Jianlei International Decoration Engineering Co., Ltd.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3,486,135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1,105,933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42" w:name="xdx_986_eus-gaap--OtherReceivables_iI_uU"/>
            <w:bookmarkEnd w:id="642"/>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160,327</w:t>
            </w:r>
          </w:p>
        </w:tc>
        <w:tc>
          <w:tcPr>
            <w:tcW w:w="78" w:type="dxa"/>
            <w:tcBorders/>
            <w:shd w:fill="CCEEFF" w:val="clear"/>
            <w:vAlign w:val="center"/>
          </w:tcPr>
          <w:p>
            <w:pPr>
              <w:pStyle w:val="TableContents"/>
              <w:bidi w:val="0"/>
              <w:spacing w:before="0" w:after="283"/>
              <w:jc w:val="left"/>
              <w:rPr/>
            </w:pPr>
            <w:r>
              <w:rPr/>
              <w:t> </w:t>
            </w:r>
            <w:bookmarkStart w:id="643" w:name="xdx_400_eus-gaap--OtherReceivables_iI_zS"/>
            <w:bookmarkEnd w:id="643"/>
          </w:p>
        </w:tc>
      </w:tr>
      <w:tr>
        <w:trPr/>
        <w:tc>
          <w:tcPr>
            <w:tcW w:w="336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3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3,486,135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1,105,933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44" w:name="xdx_987_eus-gaap--OtherReceivables_iI_uU"/>
            <w:bookmarkEnd w:id="644"/>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160,327</w:t>
            </w:r>
          </w:p>
        </w:tc>
        <w:tc>
          <w:tcPr>
            <w:tcW w:w="78" w:type="dxa"/>
            <w:tcBorders/>
            <w:shd w:fill="FFFFFF" w:val="clear"/>
            <w:vAlign w:val="center"/>
          </w:tcPr>
          <w:p>
            <w:pPr>
              <w:pStyle w:val="TableContents"/>
              <w:bidi w:val="0"/>
              <w:spacing w:before="0" w:after="283"/>
              <w:jc w:val="left"/>
              <w:rPr/>
            </w:pPr>
            <w:r>
              <w:rPr/>
              <w:t> </w:t>
            </w:r>
            <w:bookmarkStart w:id="645" w:name="xdx_40D_eus-gaap--OtherReceivables_iI_zX"/>
            <w:bookmarkEnd w:id="645"/>
          </w:p>
        </w:tc>
      </w:tr>
      <w:tr>
        <w:trPr/>
        <w:tc>
          <w:tcPr>
            <w:tcW w:w="336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33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3,486,135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1,105,933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46" w:name="xdx_989_eus-gaap--OtherReceivables_iI_uU"/>
            <w:bookmarkEnd w:id="646"/>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160,327</w:t>
            </w:r>
          </w:p>
        </w:tc>
        <w:tc>
          <w:tcPr>
            <w:tcW w:w="78" w:type="dxa"/>
            <w:tcBorders/>
            <w:shd w:fill="FFFF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0"/>
        <w:gridCol w:w="60"/>
        <w:gridCol w:w="3664"/>
        <w:gridCol w:w="60"/>
        <w:gridCol w:w="60"/>
        <w:gridCol w:w="845"/>
        <w:gridCol w:w="60"/>
        <w:gridCol w:w="60"/>
        <w:gridCol w:w="60"/>
        <w:gridCol w:w="845"/>
        <w:gridCol w:w="60"/>
        <w:gridCol w:w="60"/>
        <w:gridCol w:w="60"/>
        <w:gridCol w:w="695"/>
        <w:gridCol w:w="76"/>
      </w:tblGrid>
      <w:tr>
        <w:trPr/>
        <w:tc>
          <w:tcPr>
            <w:tcW w:w="3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47" w:name="xdx_494_20250930_z5TmfyvjNWDb"/>
            <w:bookmarkEnd w:id="647"/>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8" w:name="xdx_490_20260331_z6cU1mnzCy99"/>
            <w:bookmarkEnd w:id="648"/>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USD</w:t>
            </w:r>
          </w:p>
        </w:tc>
        <w:tc>
          <w:tcPr>
            <w:tcW w:w="76" w:type="dxa"/>
            <w:tcBorders/>
            <w:vAlign w:val="center"/>
          </w:tcPr>
          <w:p>
            <w:pPr>
              <w:pStyle w:val="TableContents"/>
              <w:bidi w:val="0"/>
              <w:spacing w:before="0" w:after="283"/>
              <w:jc w:val="left"/>
              <w:rPr/>
            </w:pPr>
            <w:r>
              <w:rPr/>
              <w:t> </w:t>
            </w:r>
          </w:p>
        </w:tc>
      </w:tr>
      <w:tr>
        <w:trPr/>
        <w:tc>
          <w:tcPr>
            <w:tcW w:w="3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6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76" w:type="dxa"/>
            <w:tcBorders/>
            <w:vAlign w:val="center"/>
          </w:tcPr>
          <w:p>
            <w:pPr>
              <w:pStyle w:val="TableContents"/>
              <w:bidi w:val="0"/>
              <w:spacing w:before="0" w:after="283"/>
              <w:jc w:val="center"/>
              <w:rPr/>
            </w:pPr>
            <w:r>
              <w:rPr/>
              <w:t> </w:t>
            </w:r>
            <w:bookmarkStart w:id="649" w:name="xdx_400_eus-gaap--OtherLiabilitiesCurren"/>
            <w:bookmarkEnd w:id="649"/>
          </w:p>
        </w:tc>
      </w:tr>
      <w:tr>
        <w:trPr/>
        <w:tc>
          <w:tcPr>
            <w:tcW w:w="35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related parties relating to operating activities</w:t>
            </w:r>
          </w:p>
        </w:tc>
        <w:tc>
          <w:tcPr>
            <w:tcW w:w="60" w:type="dxa"/>
            <w:tcBorders/>
            <w:shd w:fill="CCEEFF" w:val="clear"/>
            <w:vAlign w:val="center"/>
          </w:tcPr>
          <w:p>
            <w:pPr>
              <w:pStyle w:val="TableContents"/>
              <w:bidi w:val="0"/>
              <w:spacing w:before="0" w:after="283"/>
              <w:jc w:val="left"/>
              <w:rPr/>
            </w:pPr>
            <w:r>
              <w:rPr/>
              <w:t> </w:t>
            </w:r>
          </w:p>
        </w:tc>
        <w:tc>
          <w:tcPr>
            <w:tcW w:w="36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Jianlei International Decoration Engineering Co.,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4,894,067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50" w:name="xdx_987_eus-gaap--OtherLiabilitiesCurren"/>
            <w:bookmarkEnd w:id="650"/>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440,128</w:t>
            </w:r>
          </w:p>
        </w:tc>
        <w:tc>
          <w:tcPr>
            <w:tcW w:w="76" w:type="dxa"/>
            <w:tcBorders/>
            <w:shd w:fill="CCEEFF" w:val="clear"/>
            <w:vAlign w:val="center"/>
          </w:tcPr>
          <w:p>
            <w:pPr>
              <w:pStyle w:val="TableContents"/>
              <w:bidi w:val="0"/>
              <w:spacing w:before="0" w:after="283"/>
              <w:jc w:val="left"/>
              <w:rPr/>
            </w:pPr>
            <w:r>
              <w:rPr/>
              <w:t> </w:t>
            </w:r>
            <w:bookmarkStart w:id="651" w:name="xdx_40F_eus-gaap--OtherLiabilitiesCurren"/>
            <w:bookmarkEnd w:id="651"/>
          </w:p>
        </w:tc>
      </w:tr>
      <w:tr>
        <w:trPr/>
        <w:tc>
          <w:tcPr>
            <w:tcW w:w="35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related parties relating to operating activities</w:t>
            </w:r>
          </w:p>
        </w:tc>
        <w:tc>
          <w:tcPr>
            <w:tcW w:w="60" w:type="dxa"/>
            <w:tcBorders/>
            <w:shd w:fill="FFFFFF" w:val="clear"/>
            <w:vAlign w:val="center"/>
          </w:tcPr>
          <w:p>
            <w:pPr>
              <w:pStyle w:val="TableContents"/>
              <w:bidi w:val="0"/>
              <w:spacing w:before="0" w:after="283"/>
              <w:jc w:val="left"/>
              <w:rPr/>
            </w:pPr>
            <w:r>
              <w:rPr/>
              <w:t> </w:t>
            </w:r>
          </w:p>
        </w:tc>
        <w:tc>
          <w:tcPr>
            <w:tcW w:w="3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Yihai Construction Engineering Co.,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52" w:name="xdx_98B_eus-gaap--OtherLiabilitiesCurren"/>
            <w:bookmarkEnd w:id="652"/>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76" w:type="dxa"/>
            <w:tcBorders/>
            <w:shd w:fill="FFFFFF" w:val="clear"/>
            <w:vAlign w:val="center"/>
          </w:tcPr>
          <w:p>
            <w:pPr>
              <w:pStyle w:val="TableContents"/>
              <w:bidi w:val="0"/>
              <w:spacing w:before="0" w:after="283"/>
              <w:jc w:val="left"/>
              <w:rPr/>
            </w:pPr>
            <w:r>
              <w:rPr/>
              <w:t> </w:t>
            </w:r>
            <w:bookmarkStart w:id="653" w:name="xdx_400_eus-gaap--OtherLiabilitiesCurren"/>
            <w:bookmarkEnd w:id="653"/>
          </w:p>
        </w:tc>
      </w:tr>
      <w:tr>
        <w:trPr/>
        <w:tc>
          <w:tcPr>
            <w:tcW w:w="35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due to related parties relating to operating activities</w:t>
            </w:r>
          </w:p>
        </w:tc>
        <w:tc>
          <w:tcPr>
            <w:tcW w:w="60" w:type="dxa"/>
            <w:tcBorders/>
            <w:shd w:fill="CCEEFF" w:val="clear"/>
            <w:vAlign w:val="center"/>
          </w:tcPr>
          <w:p>
            <w:pPr>
              <w:pStyle w:val="TableContents"/>
              <w:bidi w:val="0"/>
              <w:spacing w:before="0" w:after="283"/>
              <w:jc w:val="left"/>
              <w:rPr/>
            </w:pPr>
            <w:r>
              <w:rPr/>
              <w:t> </w:t>
            </w:r>
          </w:p>
        </w:tc>
        <w:tc>
          <w:tcPr>
            <w:tcW w:w="36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 Huiju Tianxia Investment Co., Ltd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4" w:name="xdx_981_eus-gaap--OtherLiabilitiesCurren"/>
            <w:bookmarkEnd w:id="654"/>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50,739</w:t>
            </w:r>
          </w:p>
        </w:tc>
        <w:tc>
          <w:tcPr>
            <w:tcW w:w="76" w:type="dxa"/>
            <w:tcBorders/>
            <w:shd w:fill="CCEEFF" w:val="clear"/>
            <w:vAlign w:val="center"/>
          </w:tcPr>
          <w:p>
            <w:pPr>
              <w:pStyle w:val="TableContents"/>
              <w:bidi w:val="0"/>
              <w:spacing w:before="0" w:after="283"/>
              <w:jc w:val="left"/>
              <w:rPr/>
            </w:pPr>
            <w:r>
              <w:rPr/>
              <w:t> </w:t>
            </w:r>
            <w:bookmarkStart w:id="655" w:name="xdx_406_eus-gaap--OtherLiabilitiesCurren"/>
            <w:bookmarkEnd w:id="655"/>
          </w:p>
        </w:tc>
      </w:tr>
      <w:tr>
        <w:trPr/>
        <w:tc>
          <w:tcPr>
            <w:tcW w:w="35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3664"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5,244,067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3,443,940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56" w:name="xdx_980_eus-gaap--OtherLiabilitiesCurren"/>
            <w:bookmarkEnd w:id="656"/>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499,266</w:t>
            </w:r>
          </w:p>
        </w:tc>
        <w:tc>
          <w:tcPr>
            <w:tcW w:w="76" w:type="dxa"/>
            <w:tcBorders/>
            <w:shd w:fill="FFFFFF" w:val="clear"/>
            <w:vAlign w:val="center"/>
          </w:tcPr>
          <w:p>
            <w:pPr>
              <w:pStyle w:val="TableContents"/>
              <w:bidi w:val="0"/>
              <w:spacing w:before="0" w:after="283"/>
              <w:jc w:val="left"/>
              <w:rPr/>
            </w:pPr>
            <w:r>
              <w:rPr/>
              <w:t> </w:t>
            </w:r>
            <w:bookmarkStart w:id="657" w:name="xdx_409_eus-gaap--OtherLiabilitiesCurren"/>
            <w:bookmarkEnd w:id="657"/>
          </w:p>
        </w:tc>
      </w:tr>
      <w:tr>
        <w:trPr/>
        <w:tc>
          <w:tcPr>
            <w:tcW w:w="35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3664"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5,244,067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3,443,940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58" w:name="xdx_98A_eus-gaap--OtherLiabilitiesCurren"/>
            <w:bookmarkEnd w:id="658"/>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499,266</w:t>
            </w:r>
          </w:p>
        </w:tc>
        <w:tc>
          <w:tcPr>
            <w:tcW w:w="76" w:type="dxa"/>
            <w:tcBorders/>
            <w:shd w:fill="FFFFFF" w:val="clear"/>
            <w:vAlign w:val="center"/>
          </w:tcPr>
          <w:p>
            <w:pPr>
              <w:pStyle w:val="TableContents"/>
              <w:bidi w:val="0"/>
              <w:spacing w:before="0" w:after="283"/>
              <w:jc w:val="left"/>
              <w:rPr/>
            </w:pPr>
            <w:r>
              <w:rPr/>
              <w:t> </w:t>
            </w:r>
          </w:p>
        </w:tc>
      </w:tr>
    </w:tbl>
    <w:p>
      <w:pPr>
        <w:pStyle w:val="TextBody"/>
        <w:bidi w:val="0"/>
        <w:ind w:left="1440" w:right="0" w:hanging="0"/>
        <w:jc w:val="both"/>
        <w:rPr>
          <w:caps w:val="false"/>
          <w:smallCaps w:val="false"/>
        </w:rPr>
      </w:pPr>
      <w:bookmarkStart w:id="659" w:name="xdx_8A1_zVfSmboovICk"/>
      <w:bookmarkEnd w:id="659"/>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18.</w:t>
            </w:r>
          </w:p>
        </w:tc>
        <w:tc>
          <w:tcPr>
            <w:tcW w:w="3710" w:type="dxa"/>
            <w:tcBorders/>
            <w:vAlign w:val="center"/>
          </w:tcPr>
          <w:p>
            <w:pPr>
              <w:pStyle w:val="TableContents"/>
              <w:bidi w:val="0"/>
              <w:spacing w:before="0" w:after="283"/>
              <w:jc w:val="both"/>
              <w:rPr>
                <w:rFonts w:ascii="Times New Roman;Times;Serif" w:hAnsi="Times New Roman;Times;Serif"/>
                <w:b/>
                <w:sz w:val="20"/>
              </w:rPr>
            </w:pPr>
            <w:bookmarkStart w:id="660" w:name="xdx_828_zM2CKnJfAv84"/>
            <w:bookmarkEnd w:id="660"/>
            <w:r>
              <w:rPr>
                <w:rFonts w:ascii="Times New Roman;Times;Serif" w:hAnsi="Times New Roman;Times;Serif"/>
                <w:b/>
                <w:sz w:val="20"/>
              </w:rPr>
              <w:t>COMMITMENTS AND CONTINGENCIES</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Commitments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March 31, 2026, the Group did not have commitments contracted but not yet reflected in the consolidated financial statements.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Contingencies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subject to periodic legal or administrative proceeding in the ordinary course of business. The Group does not have any pending legal or administrative proceeding to which the Group is a party that will have a material effect on its business or financial condition.</w:t>
      </w:r>
    </w:p>
    <w:p>
      <w:pPr>
        <w:pStyle w:val="TextBody"/>
        <w:bidi w:val="0"/>
        <w:jc w:val="center"/>
        <w:rPr>
          <w:caps w:val="false"/>
          <w:smallCaps w:val="false"/>
        </w:rPr>
      </w:pPr>
      <w:bookmarkStart w:id="661" w:name="xdx_80E_eus-gaap--SegmentReportingDisclo"/>
      <w:bookmarkEnd w:id="661"/>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90"/>
        <w:gridCol w:w="252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19.</w:t>
            </w:r>
          </w:p>
        </w:tc>
        <w:tc>
          <w:tcPr>
            <w:tcW w:w="2525" w:type="dxa"/>
            <w:tcBorders/>
            <w:vAlign w:val="center"/>
          </w:tcPr>
          <w:p>
            <w:pPr>
              <w:pStyle w:val="TableContents"/>
              <w:bidi w:val="0"/>
              <w:spacing w:before="0" w:after="283"/>
              <w:jc w:val="left"/>
              <w:rPr>
                <w:rFonts w:ascii="Times New Roman;Times;Serif" w:hAnsi="Times New Roman;Times;Serif"/>
                <w:b/>
                <w:sz w:val="20"/>
              </w:rPr>
            </w:pPr>
            <w:bookmarkStart w:id="662" w:name="xdx_82A_z3gc0XgcodAg"/>
            <w:bookmarkEnd w:id="662"/>
            <w:r>
              <w:rPr>
                <w:rFonts w:ascii="Times New Roman;Times;Serif" w:hAnsi="Times New Roman;Times;Serif"/>
                <w:b/>
                <w:sz w:val="20"/>
              </w:rPr>
              <w:t xml:space="preserve">SEGMENT INFORMATION </w:t>
            </w:r>
          </w:p>
        </w:tc>
      </w:tr>
    </w:tbl>
    <w:p>
      <w:pPr>
        <w:pStyle w:val="TextBody"/>
        <w:bidi w:val="0"/>
        <w:jc w:val="center"/>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chief operating decision maker (“CODM”) has been identified as the Chief Executive Officer of the Company, who reviews financial information when making decisions about allocating resources and assessing performance of the Group. An operating segment is a component of the Group that engages in business activities from which it may earn revenues and incur costs, and is identified on the basis of the internal financial reports that are provided to and regularly reviewed by the Group’s CODM. All of the Company’s operating facilities and long-lived assets are in China. The Group has determined that it has only one operating segment as defined by ASC 280.</w:t>
      </w:r>
    </w:p>
    <w:p>
      <w:pPr>
        <w:pStyle w:val="TextBody"/>
        <w:bidi w:val="0"/>
        <w:jc w:val="center"/>
        <w:rPr>
          <w:caps w:val="false"/>
          <w:smallCaps w:val="false"/>
        </w:rPr>
      </w:pPr>
      <w:bookmarkStart w:id="663" w:name="xdx_808_eus-gaap--SubsequentEventsTextBl"/>
      <w:bookmarkEnd w:id="663"/>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20.</w:t>
            </w:r>
          </w:p>
        </w:tc>
        <w:tc>
          <w:tcPr>
            <w:tcW w:w="2105" w:type="dxa"/>
            <w:tcBorders/>
            <w:vAlign w:val="center"/>
          </w:tcPr>
          <w:p>
            <w:pPr>
              <w:pStyle w:val="TableContents"/>
              <w:bidi w:val="0"/>
              <w:spacing w:before="0" w:after="283"/>
              <w:jc w:val="left"/>
              <w:rPr>
                <w:rFonts w:ascii="Times New Roman;Times;Serif" w:hAnsi="Times New Roman;Times;Serif"/>
                <w:b/>
                <w:sz w:val="20"/>
              </w:rPr>
            </w:pPr>
            <w:bookmarkStart w:id="664" w:name="xdx_820_zl23rDjVWXFf"/>
            <w:bookmarkEnd w:id="664"/>
            <w:r>
              <w:rPr>
                <w:rFonts w:ascii="Times New Roman;Times;Serif" w:hAnsi="Times New Roman;Times;Serif"/>
                <w:b/>
                <w:sz w:val="20"/>
              </w:rPr>
              <w:t xml:space="preserve">SUBSEQUENT EVENT </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subsequent events through August 17, 2026, which is the date when the unaudited condensed consolidated financial statements are available to be disclosed.</w:t>
      </w:r>
    </w:p>
    <w:p>
      <w:pPr>
        <w:pStyle w:val="TextBody"/>
        <w:bidi w:val="0"/>
        <w:jc w:val="both"/>
        <w:rPr>
          <w:caps w:val="false"/>
          <w:smallCaps w:val="false"/>
        </w:rPr>
      </w:pPr>
      <w:bookmarkStart w:id="665" w:name="xdx_812_zDZwQxaXvIEd"/>
      <w:bookmarkEnd w:id="665"/>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II-19</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66" w:name="ex99-2.htm"/>
      <w:bookmarkStart w:id="667" w:name="ksex992"/>
      <w:bookmarkEnd w:id="666"/>
      <w:bookmarkEnd w:id="66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growth-oriented professional provider of intelligent integrated solutions to public utilities, commercial properties, and multifamily residential properties operating at scale in China. The intelligent integrated solutions that we offer typically include intelligent security systems, fire protection systems, parking systems, toll collection systems, broadcasting systems, identification systems, data room systems, emergency command systems and city management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successfully provided intelligent integrated services and solutions to numerous landmark infrastructure projects in private and public sectors in China, such as (i) the design, procurement, installation, integration and maintenance of the security system, access control system and parking system of an international airport in Beijing, (ii) the installation, integration and maintenance of the parking system and visitor management system of a prestigious public university in Beijing, and (iii) the operation and maintenance of the intelligent integrated systems of over 460 branches of a renowned commercial bank in Southwest China. We primarily obtain contracts either through direct invitation for quotation from customers, or through a competitive tendering process of the project employers or their main contractors.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lines include (i) engineering solutions of intelligent projects, (ii) operation and maintenance of intelligent projects, and (iii) sales of equipment and materials of intelligent systems. Our intelligent integrated solutions enable an array of service scenarios to be digitized, visualized and simplified, enabling easier management by and bringing long-term benefits for our customers. We develop and deliver one-stop high-quality services and solutions that cater to the needs of each customer and enhance customer experience with stringent quality assurance policies. We have highly experienced management and technical teams, and we maintain long-term and stable relationships with several technical and installation teams that share our core corporate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revenue primarily from provision of services for engineering solutions, operation and maintenance of intelligent projects and sales of equipment and materials of intelligent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breaks down our revenue by amounts and as percentages of our net revenues for the periods presented: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0"/>
        <w:gridCol w:w="60"/>
        <w:gridCol w:w="60"/>
        <w:gridCol w:w="1220"/>
        <w:gridCol w:w="60"/>
        <w:gridCol w:w="60"/>
        <w:gridCol w:w="60"/>
        <w:gridCol w:w="560"/>
        <w:gridCol w:w="215"/>
        <w:gridCol w:w="60"/>
        <w:gridCol w:w="60"/>
        <w:gridCol w:w="1220"/>
        <w:gridCol w:w="60"/>
        <w:gridCol w:w="60"/>
        <w:gridCol w:w="60"/>
        <w:gridCol w:w="1100"/>
        <w:gridCol w:w="60"/>
        <w:gridCol w:w="60"/>
        <w:gridCol w:w="60"/>
        <w:gridCol w:w="560"/>
        <w:gridCol w:w="230"/>
      </w:tblGrid>
      <w:tr>
        <w:trPr/>
        <w:tc>
          <w:tcPr>
            <w:tcW w:w="4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9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230" w:type="dxa"/>
            <w:tcBorders/>
            <w:vAlign w:val="center"/>
          </w:tcPr>
          <w:p>
            <w:pPr>
              <w:pStyle w:val="TableContents"/>
              <w:bidi w:val="0"/>
              <w:spacing w:before="0" w:after="283"/>
              <w:jc w:val="left"/>
              <w:rPr/>
            </w:pPr>
            <w:r>
              <w:rPr/>
              <w:t> </w:t>
            </w:r>
          </w:p>
        </w:tc>
      </w:tr>
      <w:tr>
        <w:trPr/>
        <w:tc>
          <w:tcPr>
            <w:tcW w:w="4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4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4320" w:type="dxa"/>
            <w:tcBorders/>
            <w:shd w:fill="CCEEFF" w:val="clear"/>
            <w:vAlign w:val="center"/>
          </w:tcPr>
          <w:p>
            <w:pPr>
              <w:pStyle w:val="TableContents"/>
              <w:bidi w:val="0"/>
              <w:spacing w:before="0" w:after="283"/>
              <w:jc w:val="left"/>
              <w:rPr/>
            </w:pPr>
            <w:r>
              <w:rPr/>
              <w:t>Engineering solutions of intelligent projects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97,860,980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95.8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120,264,552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17,434,699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96.8</w:t>
            </w:r>
          </w:p>
        </w:tc>
        <w:tc>
          <w:tcPr>
            <w:tcW w:w="230" w:type="dxa"/>
            <w:tcBorders/>
            <w:shd w:fill="CCEEFF" w:val="clear"/>
            <w:vAlign w:val="center"/>
          </w:tcPr>
          <w:p>
            <w:pPr>
              <w:pStyle w:val="TableContents"/>
              <w:bidi w:val="0"/>
              <w:spacing w:before="0" w:after="283"/>
              <w:jc w:val="left"/>
              <w:rPr/>
            </w:pPr>
            <w:r>
              <w:rPr/>
              <w:t>%</w:t>
            </w:r>
          </w:p>
        </w:tc>
      </w:tr>
      <w:tr>
        <w:trPr/>
        <w:tc>
          <w:tcPr>
            <w:tcW w:w="4320" w:type="dxa"/>
            <w:tcBorders/>
            <w:shd w:fill="FFFFFF" w:val="clear"/>
            <w:vAlign w:val="center"/>
          </w:tcPr>
          <w:p>
            <w:pPr>
              <w:pStyle w:val="TableContents"/>
              <w:bidi w:val="0"/>
              <w:spacing w:before="0" w:after="283"/>
              <w:jc w:val="left"/>
              <w:rPr/>
            </w:pPr>
            <w:r>
              <w:rPr/>
              <w:t>Operation and maintenance of intelligent projects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4,303,976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3,682,377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533,833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3.0</w:t>
            </w:r>
          </w:p>
        </w:tc>
        <w:tc>
          <w:tcPr>
            <w:tcW w:w="230" w:type="dxa"/>
            <w:tcBorders/>
            <w:shd w:fill="FFFFFF" w:val="clear"/>
            <w:vAlign w:val="center"/>
          </w:tcPr>
          <w:p>
            <w:pPr>
              <w:pStyle w:val="TableContents"/>
              <w:bidi w:val="0"/>
              <w:spacing w:before="0" w:after="283"/>
              <w:jc w:val="left"/>
              <w:rPr/>
            </w:pPr>
            <w:r>
              <w:rPr/>
              <w:t>%</w:t>
            </w:r>
          </w:p>
        </w:tc>
      </w:tr>
      <w:tr>
        <w:trPr/>
        <w:tc>
          <w:tcPr>
            <w:tcW w:w="4320" w:type="dxa"/>
            <w:tcBorders/>
            <w:shd w:fill="CCEEFF" w:val="clear"/>
            <w:vAlign w:val="center"/>
          </w:tcPr>
          <w:p>
            <w:pPr>
              <w:pStyle w:val="TableContents"/>
              <w:bidi w:val="0"/>
              <w:spacing w:before="0" w:after="283"/>
              <w:jc w:val="left"/>
              <w:rPr/>
            </w:pPr>
            <w:r>
              <w:rPr/>
              <w:t>Sales of equipment and materials of intelligent systems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10,290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345,882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50,142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0.2</w:t>
            </w:r>
          </w:p>
        </w:tc>
        <w:tc>
          <w:tcPr>
            <w:tcW w:w="230" w:type="dxa"/>
            <w:tcBorders/>
            <w:shd w:fill="CCEEFF" w:val="clear"/>
            <w:vAlign w:val="center"/>
          </w:tcPr>
          <w:p>
            <w:pPr>
              <w:pStyle w:val="TableContents"/>
              <w:bidi w:val="0"/>
              <w:spacing w:before="0" w:after="283"/>
              <w:jc w:val="left"/>
              <w:rPr/>
            </w:pPr>
            <w:r>
              <w:rPr/>
              <w:t>%</w:t>
            </w:r>
          </w:p>
        </w:tc>
      </w:tr>
      <w:tr>
        <w:trPr/>
        <w:tc>
          <w:tcPr>
            <w:tcW w:w="432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102,175,246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124,292,811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18,018,674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lines include (i) engineering solutions of intelligent projects, (ii) operation and maintenance of intelligent projects, and (iii) sales of equipment and materials of intelligent systems.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mainly comprises direct labor costs and cost of materials and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breaks down our cost of revenues by amounts and as percentages of our cost of revenues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2540"/>
        <w:gridCol w:w="60"/>
        <w:gridCol w:w="60"/>
        <w:gridCol w:w="1100"/>
        <w:gridCol w:w="60"/>
        <w:gridCol w:w="60"/>
        <w:gridCol w:w="60"/>
        <w:gridCol w:w="560"/>
        <w:gridCol w:w="215"/>
        <w:gridCol w:w="60"/>
        <w:gridCol w:w="60"/>
        <w:gridCol w:w="1220"/>
        <w:gridCol w:w="60"/>
        <w:gridCol w:w="60"/>
        <w:gridCol w:w="60"/>
        <w:gridCol w:w="1100"/>
        <w:gridCol w:w="60"/>
        <w:gridCol w:w="60"/>
        <w:gridCol w:w="60"/>
        <w:gridCol w:w="560"/>
        <w:gridCol w:w="230"/>
      </w:tblGrid>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47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23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Direct labor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46,044,108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46,122,096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6,686,300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44.0</w:t>
            </w:r>
          </w:p>
        </w:tc>
        <w:tc>
          <w:tcPr>
            <w:tcW w:w="230" w:type="dxa"/>
            <w:tcBorders/>
            <w:shd w:fill="CCEEFF" w:val="clear"/>
            <w:vAlign w:val="center"/>
          </w:tcPr>
          <w:p>
            <w:pPr>
              <w:pStyle w:val="TableContents"/>
              <w:bidi w:val="0"/>
              <w:spacing w:before="0" w:after="283"/>
              <w:jc w:val="left"/>
              <w:rPr/>
            </w:pPr>
            <w:r>
              <w:rPr/>
              <w:t>%</w:t>
            </w:r>
          </w:p>
        </w:tc>
      </w:tr>
      <w:tr>
        <w:trPr/>
        <w:tc>
          <w:tcPr>
            <w:tcW w:w="2540" w:type="dxa"/>
            <w:tcBorders/>
            <w:shd w:fill="FFFFFF" w:val="clear"/>
            <w:vAlign w:val="center"/>
          </w:tcPr>
          <w:p>
            <w:pPr>
              <w:pStyle w:val="TableContents"/>
              <w:bidi w:val="0"/>
              <w:spacing w:before="0" w:after="283"/>
              <w:jc w:val="left"/>
              <w:rPr/>
            </w:pPr>
            <w:r>
              <w:rPr/>
              <w:t>Cost of materials and tools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39,412,638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46.1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58,717,295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8,512,220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56.0</w:t>
            </w:r>
          </w:p>
        </w:tc>
        <w:tc>
          <w:tcPr>
            <w:tcW w:w="230" w:type="dxa"/>
            <w:tcBorders/>
            <w:shd w:fill="FFFFFF" w:val="clear"/>
            <w:vAlign w:val="center"/>
          </w:tcPr>
          <w:p>
            <w:pPr>
              <w:pStyle w:val="TableContents"/>
              <w:bidi w:val="0"/>
              <w:spacing w:before="0" w:after="283"/>
              <w:jc w:val="left"/>
              <w:rPr/>
            </w:pPr>
            <w:r>
              <w:rPr/>
              <w:t>%</w:t>
            </w:r>
          </w:p>
        </w:tc>
      </w:tr>
      <w:tr>
        <w:trPr/>
        <w:tc>
          <w:tcPr>
            <w:tcW w:w="25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85,456,746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104,839,391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15,198,520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operating expenses and as percentages of our operating expenses for the periods presented:</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4205"/>
        <w:gridCol w:w="60"/>
        <w:gridCol w:w="60"/>
        <w:gridCol w:w="980"/>
        <w:gridCol w:w="60"/>
        <w:gridCol w:w="60"/>
        <w:gridCol w:w="60"/>
        <w:gridCol w:w="560"/>
        <w:gridCol w:w="215"/>
        <w:gridCol w:w="60"/>
        <w:gridCol w:w="60"/>
        <w:gridCol w:w="980"/>
        <w:gridCol w:w="60"/>
        <w:gridCol w:w="60"/>
        <w:gridCol w:w="60"/>
        <w:gridCol w:w="800"/>
        <w:gridCol w:w="60"/>
        <w:gridCol w:w="60"/>
        <w:gridCol w:w="60"/>
        <w:gridCol w:w="560"/>
        <w:gridCol w:w="230"/>
      </w:tblGrid>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1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23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3,105,980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5,959,721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863,978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r>
        <w:trPr/>
        <w:tc>
          <w:tcPr>
            <w:tcW w:w="420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3,105,980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5,959,721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863,978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primarily consist of (i) professional services fee, (ii) payroll and related expenses for employees involved in general corporate functions, (iii) costs associated with these functions including rental and other general corporate related expenses incurred, and (iv) provision of bad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mainly represent interest expenses on short-term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mainly consists of miscellaneous items such as government subsidy.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combined and consolidated results of operations for the periods presented, both in absolute amount and as percentages of our net revenues. This information should be read together with our combined and consolidated financial statements and related notes included elsewhere in this prospectus. The results of operations in any particular period are not necessarily indicative of our future trends.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3"/>
        <w:gridCol w:w="60"/>
        <w:gridCol w:w="60"/>
        <w:gridCol w:w="1220"/>
        <w:gridCol w:w="95"/>
        <w:gridCol w:w="60"/>
        <w:gridCol w:w="60"/>
        <w:gridCol w:w="560"/>
        <w:gridCol w:w="215"/>
        <w:gridCol w:w="60"/>
        <w:gridCol w:w="60"/>
        <w:gridCol w:w="1220"/>
        <w:gridCol w:w="95"/>
        <w:gridCol w:w="60"/>
        <w:gridCol w:w="60"/>
        <w:gridCol w:w="1100"/>
        <w:gridCol w:w="60"/>
        <w:gridCol w:w="60"/>
        <w:gridCol w:w="60"/>
        <w:gridCol w:w="560"/>
        <w:gridCol w:w="223"/>
        <w:gridCol w:w="60"/>
        <w:gridCol w:w="60"/>
        <w:gridCol w:w="1100"/>
        <w:gridCol w:w="95"/>
        <w:gridCol w:w="60"/>
        <w:gridCol w:w="60"/>
        <w:gridCol w:w="920"/>
        <w:gridCol w:w="239"/>
      </w:tblGrid>
      <w:tr>
        <w:trPr/>
        <w:tc>
          <w:tcPr>
            <w:tcW w:w="16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5" w:type="dxa"/>
            <w:gridSpan w:val="6"/>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r>
      <w:tr>
        <w:trPr/>
        <w:tc>
          <w:tcPr>
            <w:tcW w:w="16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239" w:type="dxa"/>
            <w:tcBorders/>
            <w:vAlign w:val="center"/>
          </w:tcPr>
          <w:p>
            <w:pPr>
              <w:pStyle w:val="TableContents"/>
              <w:bidi w:val="0"/>
              <w:spacing w:before="0" w:after="283"/>
              <w:jc w:val="left"/>
              <w:rPr/>
            </w:pPr>
            <w:r>
              <w:rPr/>
              <w:t> </w:t>
            </w:r>
          </w:p>
        </w:tc>
      </w:tr>
      <w:tr>
        <w:trPr/>
        <w:tc>
          <w:tcPr>
            <w:tcW w:w="1663"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102,175,246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124,292,811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18,018,674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2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22,117,565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21.6</w:t>
            </w:r>
          </w:p>
        </w:tc>
        <w:tc>
          <w:tcPr>
            <w:tcW w:w="239" w:type="dxa"/>
            <w:tcBorders/>
            <w:shd w:fill="CCEEFF" w:val="clear"/>
            <w:vAlign w:val="center"/>
          </w:tcPr>
          <w:p>
            <w:pPr>
              <w:pStyle w:val="TableContents"/>
              <w:bidi w:val="0"/>
              <w:spacing w:before="0" w:after="283"/>
              <w:jc w:val="left"/>
              <w:rPr/>
            </w:pPr>
            <w:r>
              <w:rPr/>
              <w:t>%</w:t>
            </w:r>
          </w:p>
        </w:tc>
      </w:tr>
      <w:tr>
        <w:trPr/>
        <w:tc>
          <w:tcPr>
            <w:tcW w:w="1663"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85,456,746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83.6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104,839,391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15,198,520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84.3</w:t>
            </w:r>
          </w:p>
        </w:tc>
        <w:tc>
          <w:tcPr>
            <w:tcW w:w="22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19,382,645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22.7</w:t>
            </w:r>
          </w:p>
        </w:tc>
        <w:tc>
          <w:tcPr>
            <w:tcW w:w="239" w:type="dxa"/>
            <w:tcBorders/>
            <w:shd w:fill="FFFFFF" w:val="clear"/>
            <w:vAlign w:val="center"/>
          </w:tcPr>
          <w:p>
            <w:pPr>
              <w:pStyle w:val="TableContents"/>
              <w:bidi w:val="0"/>
              <w:spacing w:before="0" w:after="283"/>
              <w:jc w:val="left"/>
              <w:rPr/>
            </w:pPr>
            <w:r>
              <w:rPr/>
              <w:t>%</w:t>
            </w:r>
          </w:p>
        </w:tc>
      </w:tr>
      <w:tr>
        <w:trPr/>
        <w:tc>
          <w:tcPr>
            <w:tcW w:w="1663"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16,718,500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19,453,420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2,820,154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15.7</w:t>
            </w:r>
          </w:p>
        </w:tc>
        <w:tc>
          <w:tcPr>
            <w:tcW w:w="22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2,734,920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16.4</w:t>
            </w:r>
          </w:p>
        </w:tc>
        <w:tc>
          <w:tcPr>
            <w:tcW w:w="239" w:type="dxa"/>
            <w:tcBorders/>
            <w:shd w:fill="CCEEFF" w:val="clear"/>
            <w:vAlign w:val="center"/>
          </w:tcPr>
          <w:p>
            <w:pPr>
              <w:pStyle w:val="TableContents"/>
              <w:bidi w:val="0"/>
              <w:spacing w:before="0" w:after="283"/>
              <w:jc w:val="left"/>
              <w:rPr/>
            </w:pPr>
            <w:r>
              <w:rPr/>
              <w:t>%</w:t>
            </w:r>
          </w:p>
        </w:tc>
      </w:tr>
      <w:tr>
        <w:trPr/>
        <w:tc>
          <w:tcPr>
            <w:tcW w:w="1663"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r>
      <w:tr>
        <w:trPr/>
        <w:tc>
          <w:tcPr>
            <w:tcW w:w="1663" w:type="dxa"/>
            <w:tcBorders/>
            <w:shd w:fill="CCEEFF" w:val="clear"/>
            <w:vAlign w:val="center"/>
          </w:tcPr>
          <w:p>
            <w:pPr>
              <w:pStyle w:val="TableContents"/>
              <w:bidi w:val="0"/>
              <w:spacing w:before="0" w:after="283"/>
              <w:jc w:val="left"/>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3,105,980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5,959,721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863,978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22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2,853,741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91.9</w:t>
            </w:r>
          </w:p>
        </w:tc>
        <w:tc>
          <w:tcPr>
            <w:tcW w:w="239" w:type="dxa"/>
            <w:tcBorders/>
            <w:shd w:fill="CCEEFF" w:val="clear"/>
            <w:vAlign w:val="center"/>
          </w:tcPr>
          <w:p>
            <w:pPr>
              <w:pStyle w:val="TableContents"/>
              <w:bidi w:val="0"/>
              <w:spacing w:before="0" w:after="283"/>
              <w:jc w:val="left"/>
              <w:rPr/>
            </w:pPr>
            <w:r>
              <w:rPr/>
              <w:t>%</w:t>
            </w:r>
          </w:p>
        </w:tc>
      </w:tr>
      <w:tr>
        <w:trPr/>
        <w:tc>
          <w:tcPr>
            <w:tcW w:w="1663"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3,105,980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5,959,721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863,978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22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2,853,741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pPr>
            <w:r>
              <w:rPr/>
              <w:t>91.9</w:t>
            </w:r>
          </w:p>
        </w:tc>
        <w:tc>
          <w:tcPr>
            <w:tcW w:w="239" w:type="dxa"/>
            <w:tcBorders/>
            <w:shd w:fill="FFFFFF" w:val="clear"/>
            <w:vAlign w:val="center"/>
          </w:tcPr>
          <w:p>
            <w:pPr>
              <w:pStyle w:val="TableContents"/>
              <w:bidi w:val="0"/>
              <w:spacing w:before="0" w:after="283"/>
              <w:jc w:val="left"/>
              <w:rPr/>
            </w:pPr>
            <w:r>
              <w:rPr/>
              <w:t>%</w:t>
            </w:r>
          </w:p>
        </w:tc>
      </w:tr>
      <w:tr>
        <w:trPr/>
        <w:tc>
          <w:tcPr>
            <w:tcW w:w="1663" w:type="dxa"/>
            <w:tcBorders/>
            <w:shd w:fill="CCEEFF" w:val="clear"/>
            <w:vAlign w:val="center"/>
          </w:tcPr>
          <w:p>
            <w:pPr>
              <w:pStyle w:val="TableContents"/>
              <w:bidi w:val="0"/>
              <w:spacing w:before="0" w:after="283"/>
              <w:jc w:val="left"/>
              <w:rPr>
                <w:b/>
              </w:rPr>
            </w:pPr>
            <w:r>
              <w:rPr>
                <w:b/>
              </w:rPr>
              <w:t>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13,612,520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13,493,699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1,956,176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10.9</w:t>
            </w:r>
          </w:p>
        </w:tc>
        <w:tc>
          <w:tcPr>
            <w:tcW w:w="22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(0.9</w:t>
            </w:r>
          </w:p>
        </w:tc>
        <w:tc>
          <w:tcPr>
            <w:tcW w:w="239" w:type="dxa"/>
            <w:tcBorders/>
            <w:shd w:fill="CCEEFF" w:val="clear"/>
            <w:vAlign w:val="center"/>
          </w:tcPr>
          <w:p>
            <w:pPr>
              <w:pStyle w:val="TableContents"/>
              <w:bidi w:val="0"/>
              <w:spacing w:before="0" w:after="283"/>
              <w:jc w:val="left"/>
              <w:rPr/>
            </w:pPr>
            <w:r>
              <w:rPr/>
              <w:t>)%</w:t>
            </w:r>
          </w:p>
        </w:tc>
      </w:tr>
      <w:tr>
        <w:trPr/>
        <w:tc>
          <w:tcPr>
            <w:tcW w:w="1663" w:type="dxa"/>
            <w:tcBorders/>
            <w:shd w:fill="FFFFFF" w:val="clear"/>
            <w:vAlign w:val="center"/>
          </w:tcPr>
          <w:p>
            <w:pPr>
              <w:pStyle w:val="TableContents"/>
              <w:bidi w:val="0"/>
              <w:spacing w:before="0" w:after="283"/>
              <w:jc w:val="left"/>
              <w:rPr/>
            </w:pPr>
            <w:r>
              <w:rPr/>
              <w:t>Interest (expense)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(148,839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(21,577)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(0.1</w:t>
            </w:r>
          </w:p>
        </w:tc>
        <w:tc>
          <w:tcPr>
            <w:tcW w:w="22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(147,903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15801.6</w:t>
            </w:r>
          </w:p>
        </w:tc>
        <w:tc>
          <w:tcPr>
            <w:tcW w:w="239" w:type="dxa"/>
            <w:tcBorders/>
            <w:shd w:fill="FFFFFF" w:val="clear"/>
            <w:vAlign w:val="center"/>
          </w:tcPr>
          <w:p>
            <w:pPr>
              <w:pStyle w:val="TableContents"/>
              <w:bidi w:val="0"/>
              <w:spacing w:before="0" w:after="283"/>
              <w:jc w:val="left"/>
              <w:rPr/>
            </w:pPr>
            <w:r>
              <w:rPr/>
              <w:t>%</w:t>
            </w:r>
          </w:p>
        </w:tc>
      </w:tr>
      <w:tr>
        <w:trPr/>
        <w:tc>
          <w:tcPr>
            <w:tcW w:w="1663"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324,664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0.3</w:t>
            </w:r>
          </w:p>
        </w:tc>
        <w:tc>
          <w:tcPr>
            <w:tcW w:w="22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123346.4</w:t>
            </w:r>
          </w:p>
        </w:tc>
        <w:tc>
          <w:tcPr>
            <w:tcW w:w="239" w:type="dxa"/>
            <w:tcBorders/>
            <w:shd w:fill="CCEEFF" w:val="clear"/>
            <w:vAlign w:val="center"/>
          </w:tcPr>
          <w:p>
            <w:pPr>
              <w:pStyle w:val="TableContents"/>
              <w:bidi w:val="0"/>
              <w:spacing w:before="0" w:after="283"/>
              <w:jc w:val="left"/>
              <w:rPr/>
            </w:pPr>
            <w:r>
              <w:rPr/>
              <w:t>%</w:t>
            </w:r>
          </w:p>
        </w:tc>
      </w:tr>
      <w:tr>
        <w:trPr/>
        <w:tc>
          <w:tcPr>
            <w:tcW w:w="1663" w:type="dxa"/>
            <w:tcBorders/>
            <w:shd w:fill="FFFFFF" w:val="clear"/>
            <w:vAlign w:val="center"/>
          </w:tcPr>
          <w:p>
            <w:pPr>
              <w:pStyle w:val="TableContents"/>
              <w:bidi w:val="0"/>
              <w:spacing w:before="0" w:after="283"/>
              <w:jc w:val="left"/>
              <w:rPr/>
            </w:pPr>
            <w:r>
              <w:rPr/>
              <w:t>Income before income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13,611,847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13,669,524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1,981,665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11.0</w:t>
            </w:r>
          </w:p>
        </w:tc>
        <w:tc>
          <w:tcPr>
            <w:tcW w:w="22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0.4</w:t>
            </w:r>
          </w:p>
        </w:tc>
        <w:tc>
          <w:tcPr>
            <w:tcW w:w="239" w:type="dxa"/>
            <w:tcBorders/>
            <w:shd w:fill="FFFFFF" w:val="clear"/>
            <w:vAlign w:val="center"/>
          </w:tcPr>
          <w:p>
            <w:pPr>
              <w:pStyle w:val="TableContents"/>
              <w:bidi w:val="0"/>
              <w:spacing w:before="0" w:after="283"/>
              <w:jc w:val="left"/>
              <w:rPr/>
            </w:pPr>
            <w:r>
              <w:rPr/>
              <w:t>%</w:t>
            </w:r>
          </w:p>
        </w:tc>
      </w:tr>
      <w:tr>
        <w:trPr/>
        <w:tc>
          <w:tcPr>
            <w:tcW w:w="1663" w:type="dxa"/>
            <w:tcBorders/>
            <w:shd w:fill="CCEEFF" w:val="clear"/>
            <w:vAlign w:val="center"/>
          </w:tcPr>
          <w:p>
            <w:pPr>
              <w:pStyle w:val="TableContents"/>
              <w:bidi w:val="0"/>
              <w:spacing w:before="0" w:after="283"/>
              <w:jc w:val="left"/>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2,045,183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2,010,295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291,432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22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239" w:type="dxa"/>
            <w:tcBorders/>
            <w:shd w:fill="CCEEFF" w:val="clear"/>
            <w:vAlign w:val="center"/>
          </w:tcPr>
          <w:p>
            <w:pPr>
              <w:pStyle w:val="TableContents"/>
              <w:bidi w:val="0"/>
              <w:spacing w:before="0" w:after="283"/>
              <w:jc w:val="left"/>
              <w:rPr/>
            </w:pPr>
            <w:r>
              <w:rPr/>
              <w:t>)%</w:t>
            </w:r>
          </w:p>
        </w:tc>
      </w:tr>
      <w:tr>
        <w:trPr/>
        <w:tc>
          <w:tcPr>
            <w:tcW w:w="1663"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11,566,664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11,659,229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1,690,233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9.4</w:t>
            </w:r>
          </w:p>
        </w:tc>
        <w:tc>
          <w:tcPr>
            <w:tcW w:w="22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92,565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pPr>
            <w:r>
              <w:rPr/>
              <w:t>0.8</w:t>
            </w:r>
          </w:p>
        </w:tc>
        <w:tc>
          <w:tcPr>
            <w:tcW w:w="239"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Six Months Ended March 31, 2026 Compared to Six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increased by 21.6% from RMB102,175 thousand for the six months ended March 31, 2025 to RMB124,293 thousand (US$18,019 thousand) for the six months ended March 31, 2026, primarily attributable to an increase in the number of intelligent projects where we provided engineering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generated from service of engineering solutions of intelligent projects increased by 22.9% from RMB97,861 thousand for the six months ended March 31, 2025 to RMB120,265 thousand (US$17,435 thousand) for the six months ended March 31, 2026. The number of contracts under execution to provide engineering solutions was 226 and 322, respectively during the six months ended March 31, 2025 and 2026. The average contract amount of these contracts was RMB433 thousand and RMB373 thousand (US$54 thousand), respectively during the six months ended March 31, 2025 and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generated from service of operation and maintenance of intelligent projects decreased by 14.5% from RMB4,304 thousand for the six months ended March 31, 2025 to RMB3,682 thousand (US$534 thousand) for the six months ended March 31, 2026. The number of contracts under execution to provide operation and maintenance of intelligent projects was 45 and 40 during the six months ended March 31, 2025 and 2026, respectively. The average contract amount of these contracts was RMB96 thousand and RMB92 thousand (US$13 thousand) during the six months ended March 31, 2025 and 2026,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generated from the sale of equipment and material of intellectualized systems increased by 3360.0% from RMB10 thousand for the six months ended March 31, 2025 to RMB346 thousand (US$50 thousand)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increased by 22.7% from RMB85,457 thousand for the six months ended March 31, 2025 to RMB104,839 thousand (US$15,199 thousand) for the six months ended March 31, 2026. The increase was in line with the increase in revenues and was primarily attributable to (i) an increase of RMB46,122 thousand (US$6,686 thousand) in labor cost due to increased sales, and (ii) an increase of RMB58,717 thousand (US$8,512 thousand) in materials and components cost associated with the increased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gross profit increased by 16.4% from RMB16,719 thousand for the six months ended March 31, 2025 to RMB19,453 thousand (US$2,820 thousand) for the six months ended March 31, 2026. Our gross margin slightly decreased from 16.4% for the six months ended March 31, 2025 to 15.7% for the six months ended March 31, 2026 primarily due to change in revenue mix.</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selling, general and administrative expenses during the periods indicated, both in the absolute amount and as a percentage of total selling, general and administrative expenses for the periods indicated.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0"/>
        <w:gridCol w:w="60"/>
        <w:gridCol w:w="60"/>
        <w:gridCol w:w="980"/>
        <w:gridCol w:w="60"/>
        <w:gridCol w:w="60"/>
        <w:gridCol w:w="60"/>
        <w:gridCol w:w="560"/>
        <w:gridCol w:w="260"/>
        <w:gridCol w:w="60"/>
        <w:gridCol w:w="60"/>
        <w:gridCol w:w="980"/>
        <w:gridCol w:w="60"/>
        <w:gridCol w:w="60"/>
        <w:gridCol w:w="60"/>
        <w:gridCol w:w="800"/>
        <w:gridCol w:w="60"/>
        <w:gridCol w:w="60"/>
        <w:gridCol w:w="60"/>
        <w:gridCol w:w="560"/>
        <w:gridCol w:w="260"/>
        <w:gridCol w:w="60"/>
        <w:gridCol w:w="60"/>
        <w:gridCol w:w="980"/>
        <w:gridCol w:w="95"/>
        <w:gridCol w:w="60"/>
        <w:gridCol w:w="60"/>
        <w:gridCol w:w="680"/>
        <w:gridCol w:w="110"/>
      </w:tblGrid>
      <w:tr>
        <w:trPr/>
        <w:tc>
          <w:tcPr>
            <w:tcW w:w="2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6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Variances</w:t>
            </w:r>
          </w:p>
        </w:tc>
        <w:tc>
          <w:tcPr>
            <w:tcW w:w="110" w:type="dxa"/>
            <w:tcBorders/>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283"/>
              <w:jc w:val="left"/>
              <w:rPr/>
            </w:pPr>
            <w:r>
              <w:rPr/>
              <w:t>Administrative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212,118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188.6</w:t>
            </w:r>
          </w:p>
        </w:tc>
        <w:tc>
          <w:tcPr>
            <w:tcW w:w="110" w:type="dxa"/>
            <w:tcBorders/>
            <w:shd w:fill="CCEEFF" w:val="cle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pPr>
            <w:r>
              <w:rPr/>
              <w:t>Employee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2,259,534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72.7</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2,097,290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304,043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(162,244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(7.2</w:t>
            </w:r>
          </w:p>
        </w:tc>
        <w:tc>
          <w:tcPr>
            <w:tcW w:w="110" w:type="dxa"/>
            <w:tcBorders/>
            <w:shd w:fill="FFFFFF" w:val="clear"/>
            <w:vAlign w:val="center"/>
          </w:tcPr>
          <w:p>
            <w:pPr>
              <w:pStyle w:val="TableContents"/>
              <w:bidi w:val="0"/>
              <w:spacing w:before="0" w:after="283"/>
              <w:jc w:val="left"/>
              <w:rPr/>
            </w:pPr>
            <w:r>
              <w:rPr/>
              <w:t>)</w:t>
            </w:r>
          </w:p>
        </w:tc>
      </w:tr>
      <w:tr>
        <w:trPr/>
        <w:tc>
          <w:tcPr>
            <w:tcW w:w="2920" w:type="dxa"/>
            <w:tcBorders/>
            <w:shd w:fill="CCEEFF" w:val="clear"/>
            <w:vAlign w:val="center"/>
          </w:tcPr>
          <w:p>
            <w:pPr>
              <w:pStyle w:val="TableContents"/>
              <w:bidi w:val="0"/>
              <w:spacing w:before="0" w:after="283"/>
              <w:jc w:val="left"/>
              <w:rPr/>
            </w:pPr>
            <w:r>
              <w:rPr/>
              <w:t>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2,172,547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314,953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2,060,685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1842.2</w:t>
            </w:r>
          </w:p>
        </w:tc>
        <w:tc>
          <w:tcPr>
            <w:tcW w:w="110" w:type="dxa"/>
            <w:tcBorders/>
            <w:shd w:fill="CCEEFF" w:val="cle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pPr>
            <w:r>
              <w:rPr/>
              <w:t>Provision of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406,275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1,253,643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181,740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21.0</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847,367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208.6</w:t>
            </w:r>
          </w:p>
        </w:tc>
        <w:tc>
          <w:tcPr>
            <w:tcW w:w="110" w:type="dxa"/>
            <w:tcBorders/>
            <w:shd w:fill="FFFFFF" w:val="clear"/>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(108,927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(66.6</w:t>
            </w:r>
          </w:p>
        </w:tc>
        <w:tc>
          <w:tcPr>
            <w:tcW w:w="110" w:type="dxa"/>
            <w:tcBorders/>
            <w:shd w:fill="CCEEFF" w:val="clear"/>
            <w:vAlign w:val="center"/>
          </w:tcPr>
          <w:p>
            <w:pPr>
              <w:pStyle w:val="TableContents"/>
              <w:bidi w:val="0"/>
              <w:spacing w:before="0" w:after="283"/>
              <w:jc w:val="left"/>
              <w:rPr/>
            </w:pPr>
            <w:r>
              <w:rPr/>
              <w:t>)</w:t>
            </w:r>
          </w:p>
        </w:tc>
      </w:tr>
      <w:tr>
        <w:trPr/>
        <w:tc>
          <w:tcPr>
            <w:tcW w:w="292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52.2</w:t>
            </w:r>
          </w:p>
        </w:tc>
        <w:tc>
          <w:tcPr>
            <w:tcW w:w="110" w:type="dxa"/>
            <w:tcBorders/>
            <w:shd w:fill="FFFFFF" w:val="clear"/>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45,220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46,249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0.8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b/>
              </w:rPr>
            </w:pPr>
            <w:r>
              <w:rPr>
                <w:b/>
              </w:rPr>
              <w:t>Total 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3,105,980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5,959,721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863,978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2,853,741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91.9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increased by 91.9% from RMB3,106 thousand for the six months ended March 31, 2025 to RMB5,960 thousand (US$864 thousand) for the six months ended March 31, 2026, which was primarily due to an increase in service fee for RMB2,061 thousand (US$299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operating income before income taxes increased by 0.4% from RMB13,613 thousand for the six months ended March 31, 2025 to RMB13,494 thousand (US$1,956 thousand)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decreased by 1.7% from RMB2,045 thousand for the six months ended March 31, 2025 to RMB2,010 thousand (US$291 thousand)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increased by 0.8% from RMB11,567 thousand for the six months ended March 31, 2025 to RMB11,659 thousand (US$1,690 thousand) for the six months ended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To date, we have financed our operating and investing activities primarily through cash generated from operating activities, proceeds from initial public offering and shareholder contribution. As of September </w:t>
      </w:r>
      <w:r>
        <w:rPr>
          <w:rFonts w:ascii="Times New Roman;Times;Serif" w:hAnsi="Times New Roman;Times;Serif"/>
          <w:b w:val="false"/>
          <w:i w:val="false"/>
          <w:caps w:val="false"/>
          <w:smallCaps w:val="false"/>
          <w:sz w:val="20"/>
        </w:rPr>
        <w:t>30</w:t>
      </w:r>
      <w:r>
        <w:rPr>
          <w:rFonts w:ascii="Times New Roman;Times;Serif" w:hAnsi="Times New Roman;Times;Serif"/>
          <w:b w:val="false"/>
          <w:i w:val="false"/>
          <w:caps w:val="false"/>
          <w:smallCaps w:val="false"/>
          <w:sz w:val="20"/>
          <w:shd w:fill="FFFFFF" w:val="clear"/>
        </w:rPr>
        <w:t>, 2025 and March 31, 2026, our cash and cash equivalents and restricted cash were RMB62,248</w:t>
      </w:r>
      <w:r>
        <w:rPr>
          <w:rFonts w:ascii="Times New Roman;Times;Serif" w:hAnsi="Times New Roman;Times;Serif"/>
          <w:b w:val="false"/>
          <w:i w:val="false"/>
          <w:caps w:val="false"/>
          <w:smallCaps w:val="false"/>
          <w:sz w:val="20"/>
        </w:rPr>
        <w:t xml:space="preserve"> thousand </w:t>
      </w:r>
      <w:r>
        <w:rPr>
          <w:rFonts w:ascii="Times New Roman;Times;Serif" w:hAnsi="Times New Roman;Times;Serif"/>
          <w:b w:val="false"/>
          <w:i w:val="false"/>
          <w:caps w:val="false"/>
          <w:smallCaps w:val="false"/>
          <w:sz w:val="20"/>
          <w:shd w:fill="FFFFFF" w:val="clear"/>
        </w:rPr>
        <w:t xml:space="preserve">and RMB43,217 </w:t>
      </w:r>
      <w:r>
        <w:rPr>
          <w:rFonts w:ascii="Times New Roman;Times;Serif" w:hAnsi="Times New Roman;Times;Serif"/>
          <w:b w:val="false"/>
          <w:i w:val="false"/>
          <w:caps w:val="false"/>
          <w:smallCaps w:val="false"/>
          <w:sz w:val="20"/>
        </w:rPr>
        <w:t>thousand (US$6</w:t>
      </w:r>
      <w:r>
        <w:rPr>
          <w:rFonts w:ascii="Times New Roman;Times;Serif" w:hAnsi="Times New Roman;Times;Serif"/>
          <w:b w:val="false"/>
          <w:i w:val="false"/>
          <w:caps w:val="false"/>
          <w:smallCaps w:val="false"/>
          <w:sz w:val="20"/>
          <w:shd w:fill="FFFFFF" w:val="clear"/>
        </w:rPr>
        <w:t>,265</w:t>
      </w:r>
      <w:r>
        <w:rPr>
          <w:rFonts w:ascii="Times New Roman;Times;Serif" w:hAnsi="Times New Roman;Times;Serif"/>
          <w:b w:val="false"/>
          <w:i w:val="false"/>
          <w:caps w:val="false"/>
          <w:smallCaps w:val="false"/>
          <w:sz w:val="20"/>
        </w:rPr>
        <w:t xml:space="preserve"> thousand)</w:t>
      </w:r>
      <w:r>
        <w:rPr>
          <w:rFonts w:ascii="Times New Roman;Times;Serif" w:hAnsi="Times New Roman;Times;Serif"/>
          <w:b w:val="false"/>
          <w:i w:val="false"/>
          <w:caps w:val="false"/>
          <w:smallCaps w:val="false"/>
          <w:sz w:val="20"/>
          <w:shd w:fill="FFFFFF" w:val="clear"/>
        </w:rPr>
        <w:t>, respectively. Our cash and cash equivalents and restricted cash primarily consist of cash and time deposits with terms of three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believe that our current levels of cash and cash flows from operations will be sufficient to meet our anticipated cash needs for at least the next 12 months. However, we may need additional cash resources in the future if we find and wish to pursue opportunities for investment, acquisition, strategic cooperation or other similar actions. If we determine that our cash requirements exceed the amounts of cash on hand or if we decide to further optimize our capital structure, we may seek to issue debt or equity securities or obtain credit facilities or other sources of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table set forth a summary of its cash flows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890"/>
        <w:gridCol w:w="60"/>
        <w:gridCol w:w="60"/>
        <w:gridCol w:w="1055"/>
        <w:gridCol w:w="95"/>
        <w:gridCol w:w="60"/>
        <w:gridCol w:w="60"/>
        <w:gridCol w:w="1175"/>
        <w:gridCol w:w="95"/>
        <w:gridCol w:w="60"/>
        <w:gridCol w:w="60"/>
        <w:gridCol w:w="1055"/>
        <w:gridCol w:w="95"/>
        <w:gridCol w:w="60"/>
        <w:gridCol w:w="60"/>
        <w:gridCol w:w="1055"/>
        <w:gridCol w:w="95"/>
        <w:gridCol w:w="60"/>
        <w:gridCol w:w="60"/>
        <w:gridCol w:w="635"/>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Variances</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(8,236,979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(17,834,473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(2,585,455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(9,597,494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116.5</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(89,109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(89,109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8,830,861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(8,830,861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RMB17,834 thousand (US$2,585 thousand) for the six months ended March 31, 2026, as compared to RMB8,237 thousand net cash used in operating activities for the six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March 31, 2026 was resulted from net income of RMB11,659 thousand (US$1,690 thousand), adjusted for non-cash operating activities of: (i) depreciation of RMB11 thousand (US$2 thousand), (ii) amortization of the right-of-use asset of RMB51 thousand (US$7 thousand), (iii) provision of allowance for doubtful accounts for account receivables of RMB6,420 thousand (US$931 thousand), and (iv) provision of allowance for unbilled receivables of RMB1,189 thousand (US$172 thousand). The amount was further adjusted by changes in operating assets and liabilities of RMB37,165 thousand (US$5,388 thousand) from March 31, 2025 to March 31, 2026 that collectively had a negative effect on cash flow, including primarily (i) an increase in unbilled receivable of RMB63,017 thousand (US$9,136 thousand) caused by an increase in revenue, (ii) an increase in other receivable of RMB23,532 thousand (US$3,411 thousand), and (iii) decrease in account payable of RMB7,985 thousand (US$1,158 thousand) and partially offset by (i) an increase in accrued expenses and other current liabilities of RMB46,684 thousand (US$6,768 thousand), (ii) an increase in other current liabilities of RMB5,284 thousand (US$766 thousand), (iii) decrease in accounts receivable of RMB3,451 thousand (US$500 thousand), and (iv) decrease in contract assets of RMB960 thousand (US$140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RMB8,237 thousand for the six months ended March 31, 2025 was resulted from net income of RMB11,567 thousand, adjusted for non-cash operating activities of: (i) depreciation of RMB7 thousand, (ii) amortization of the right-of-use asset of RMB95 thousand, (iii) reversal of allowance for doubtful accounts for account receivables of RMB94 thousand, and (iv) provision of allowance for unbilled receivables of RMB312 thousand. The amount was further adjusted by changes in operating assets and liabilities that collectively had a negative effect on cash flow, including: (i) an increase in unbilled receivable of RMB18,755 thousand and increase in contract assets of RMB2,111 thousand, because of the increase of revenue and projects in service during the six months ended March 31, 2025, (ii) increase in account receivables for RMB4,474 thousand, (iii) decrease in amount due to related parties for RMB13,836 thousand, as well as (iv) decrease in accounts payable of RMB4,721 thousand, and partially offset by (i) an increase in accrued expenses and other current liabilities of RMB16,811 thousand, (ii) an increase in contract liabilities of RMB2,081 thousand also associated with increased revenue and undergoing projects, and (iii) decrease in amount due from related parties of RMB699 thousand, because amount from Beijing Jianlei International Decoration Engineering Co., Ltd., a company controlled by Mr. Hu Jiaqi, decreased due to provision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RMB89 thousand (US$13 thousand) for the six months ended March 31, 2026, as compared to nil for the six months ended March 31, 2025. The cash outflow was used to upgrade software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nil for the six months ended March 31, 2026, as compared to RMB8,831 thousand net cash provided by financing activities for the six months ended March 31, 2025. The net cash provided by financing activities for the six months ended March 31, 2025 was proceeded from short-term borrowing of RMB10,000 thousand and payment for deferred offering costs with amount of RMB1,169 thousand.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Commitments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March 31, 2026, we did not have commitments contracted but not yet reflected in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Contingencies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legal or administrative proceeding in the ordinary course of business. We do not have any pending legal or administrative proceeding to which we are a party that will have a material effect on its business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Off-Balance Sheet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off-balance sheet financial guarantees or off-balance sheet commitments to guarantee the payment obligations of any third parties. We have not entered into any derivative contracts that are indexed to our shares and classified as shareholder’s equity or that are not reflected in our combined and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 as of September 30, 2025 and March 31, 2026, and any subsequent period primarily include our capital expenditures and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contractual obligations as of September 30, 2025 and March 31, 2026.</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668" w:name="ex99-3.htm"/>
      <w:bookmarkStart w:id="669" w:name="ksex993"/>
      <w:bookmarkEnd w:id="668"/>
      <w:bookmarkEnd w:id="66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 Reports Unaudited Financial Results for the First Half of Fiscal Year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August 18, 2026/GLOBE NEWSWIRE/ - Julong Holding Limited (“Julong” or the “Company”) (Nasdaq: JLHL), a growth-oriented provider of intelligent integrated solutions, today announced its unaudited financial results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of Fiscal Year 2026 Financial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Revenues </w:t>
            </w:r>
            <w:r>
              <w:rPr>
                <w:rFonts w:ascii="Times New Roman;Times;Serif" w:hAnsi="Times New Roman;Times;Serif"/>
                <w:b w:val="false"/>
                <w:i w:val="false"/>
                <w:caps w:val="false"/>
                <w:smallCaps w:val="false"/>
                <w:sz w:val="20"/>
              </w:rPr>
              <w:t>increased by 21.6% to RMB124,293 thousand (US$18,019 thousand) for the six months ended March 31, 2026, from RMB102,175 thousand in the same period of fiscal year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profit </w:t>
            </w:r>
            <w:r>
              <w:rPr>
                <w:rFonts w:ascii="Times New Roman;Times;Serif" w:hAnsi="Times New Roman;Times;Serif"/>
                <w:b w:val="false"/>
                <w:i w:val="false"/>
                <w:caps w:val="false"/>
                <w:smallCaps w:val="false"/>
                <w:sz w:val="20"/>
              </w:rPr>
              <w:t>increased by 16.4% to RMB19,453 thousand (US$2,820 thousand) for the six months ended March 31, 2026, from RMB16,719 thousand in the same period of fiscal year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margin </w:t>
            </w:r>
            <w:r>
              <w:rPr>
                <w:rFonts w:ascii="Times New Roman;Times;Serif" w:hAnsi="Times New Roman;Times;Serif"/>
                <w:b w:val="false"/>
                <w:i w:val="false"/>
                <w:caps w:val="false"/>
                <w:smallCaps w:val="false"/>
                <w:sz w:val="20"/>
              </w:rPr>
              <w:t>was 15.7% for the six months ended March 31, 2026, compared with 16.4% in the same period of fiscal year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increased by 0.8% to RMB11,659 thousand (US$1,690 thousand) in the six months ended March 31, 2026, from RMB11,567 thousand in the same period of fiscal year 2025.</w:t>
            </w:r>
          </w:p>
        </w:tc>
      </w:tr>
    </w:tbl>
    <w:p>
      <w:pPr>
        <w:pStyle w:val="TextBody"/>
        <w:bidi w:val="0"/>
        <w:spacing w:before="0" w:after="0"/>
        <w:ind w:left="420" w:right="0" w:hanging="4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Jiaqi Hu, the founder, Chairman of the Board of Directors, and Chief Executive Officer of Julong, commented, “We are pleased to report solid results for the first half of fiscal year 2026, despite a challenging external environment. Total revenue increased by 21.6% year over year, reflecting the continued strength of our core engineering solutions business. This growth was primarily driven by an increase in the number of intelligent projects we served, with contracts under execution for our engineering solutions business rising to 322 from 226 in the same period last year. Additionally, we saw encouraging early-stage momentum in our sale of equipment and materials for intelligent systems, which complements our core business. With a rising number of contracts under execution in our domestic engineering solutions business and our continuous efforts to expand our international footprint, we are confident that we will sustain this momentum and capture new opportunities across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Airu Chen, the Chief Financial Officer of Julong, said, “We delivered a year-over-year revenue increase of 21.6%, reaching RMB124 million in the first half of fiscal year 2026, with revenue from our core engineering solutions for intelligent projects business rising 22.9% year over year. Notably, revenue from the sale of equipment and materials for intelligent systems grew substantially, climbing to RMB346 thousand from RMB10 thousand in the same period last year. Gross profit increased 16.4% year-over-year to RMB19.5 million and we remained profitable with net income of RMB11.7 million. As we continue to support the execution of our project pipeline, we remain focused on improving operational efficiency and creating sustainable, long-term value for our business partners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Financial Results for the First Half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val="false"/>
          <w:i w:val="false"/>
          <w:caps w:val="false"/>
          <w:smallCaps w:val="false"/>
          <w:sz w:val="20"/>
        </w:rPr>
        <w:t xml:space="preserve"> increased by 21.6% to RMB124,293 thousand (US$18,019 thousand) in the six months ended March 31, 2026, from RMB102,175 thousand in the same period of fiscal year 2025, primarily attributable to an increase in the number of intelligent projects where we provided engineering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Revenues from engineering solutions for intelligent projects</w:t>
      </w:r>
      <w:r>
        <w:rPr>
          <w:rFonts w:ascii="Times New Roman;Times;Serif" w:hAnsi="Times New Roman;Times;Serif"/>
          <w:b w:val="false"/>
          <w:i w:val="false"/>
          <w:caps w:val="false"/>
          <w:smallCaps w:val="false"/>
          <w:sz w:val="20"/>
        </w:rPr>
        <w:t xml:space="preserve"> increased by 22.9% to RMB120,265 thousand (US$17,435 thousand) in the six months ended March 31, 2026, from RMB97,861 thousand in the same period of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Revenues from intelligent project operation and maintenance</w:t>
      </w:r>
      <w:r>
        <w:rPr>
          <w:rFonts w:ascii="Times New Roman;Times;Serif" w:hAnsi="Times New Roman;Times;Serif"/>
          <w:b w:val="false"/>
          <w:i w:val="false"/>
          <w:caps w:val="false"/>
          <w:smallCaps w:val="false"/>
          <w:sz w:val="20"/>
        </w:rPr>
        <w:t xml:space="preserve"> were RMB3,682 thousand (US$534 thousand) in the six months ended March 31, 2026, compared with RMB4,304 thousand in the same period of fiscal year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Revenues from sales of equipment and materials of intelligent systems</w:t>
      </w:r>
      <w:r>
        <w:rPr>
          <w:rFonts w:ascii="Times New Roman;Times;Serif" w:hAnsi="Times New Roman;Times;Serif"/>
          <w:b w:val="false"/>
          <w:i w:val="false"/>
          <w:caps w:val="false"/>
          <w:smallCaps w:val="false"/>
          <w:sz w:val="20"/>
        </w:rPr>
        <w:t xml:space="preserve"> increased to RMB346 thousand (US$50 thousand) in the six months ended March 31, 2026, from RMB10 thousand in the same period of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Cost of revenues </w:t>
      </w:r>
      <w:r>
        <w:rPr>
          <w:rFonts w:ascii="Times New Roman;Times;Serif" w:hAnsi="Times New Roman;Times;Serif"/>
          <w:b w:val="false"/>
          <w:i w:val="false"/>
          <w:caps w:val="false"/>
          <w:smallCaps w:val="false"/>
          <w:sz w:val="20"/>
        </w:rPr>
        <w:t>increased by 22.7% to RMB104,839 thousand (US$15,199 thousand) in the six months ended March 31, 2026, from RMB85,457 thousand in the same period of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increased by 16.4% to RMB19,453 thousand (US$2,820 thousand) in the six months ended March 31, 2026, from RMB16,719 thousand in the same period of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margin </w:t>
      </w:r>
      <w:r>
        <w:rPr>
          <w:rFonts w:ascii="Times New Roman;Times;Serif" w:hAnsi="Times New Roman;Times;Serif"/>
          <w:b w:val="false"/>
          <w:i w:val="false"/>
          <w:caps w:val="false"/>
          <w:smallCaps w:val="false"/>
          <w:sz w:val="20"/>
        </w:rPr>
        <w:t>was 15.7% for the six months ended March 31, 2026, compared with 16.4% in the same period of fiscal year 2025, primarily due to change in revenue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val="false"/>
          <w:i w:val="false"/>
          <w:caps w:val="false"/>
          <w:smallCaps w:val="false"/>
          <w:sz w:val="20"/>
        </w:rPr>
        <w:t xml:space="preserve"> increased by 91.9% to RMB5,960 thousand (US$864 thousand) in the six months ended March 31, 2026, from RMB3,106 thousand in the same period of fiscal year 2025, primarily due to an increase in service fee for RMB2,061 thousand (US$299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income </w:t>
      </w:r>
      <w:r>
        <w:rPr>
          <w:rFonts w:ascii="Times New Roman;Times;Serif" w:hAnsi="Times New Roman;Times;Serif"/>
          <w:b w:val="false"/>
          <w:i w:val="false"/>
          <w:caps w:val="false"/>
          <w:smallCaps w:val="false"/>
          <w:sz w:val="20"/>
        </w:rPr>
        <w:t>was RMB13,494 thousand (US$1,956 thousand) in the six months ended March 31, 2026, compared with RMB13,613 thousand in the same period of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increased by 0.8% to RMB11,659 thousand (US$1,690 thousand) in the six months ended March 31, 2026, from RMB11,567 thousand in the same period of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net income per share </w:t>
      </w:r>
      <w:r>
        <w:rPr>
          <w:rFonts w:ascii="Times New Roman;Times;Serif" w:hAnsi="Times New Roman;Times;Serif"/>
          <w:b w:val="false"/>
          <w:i w:val="false"/>
          <w:caps w:val="false"/>
          <w:smallCaps w:val="false"/>
          <w:sz w:val="20"/>
        </w:rPr>
        <w:t>was RMB0.54 (US$0.08) in the six months ended March 31, 2026, compared with RMB0.58 per share in the same period of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and cash equivalents and restricted cash of RMB43,217 thousand (US$6,265 thousand), compared with RMB62,248 thousand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Julong Holding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1997, Julong is a growth-oriented professional provider of intelligent integrated solutions to public utilities, commercial properties, and multifamily residential properties operating at scale in China. The Company’s comprehensive suite of intelligent integrated solutions includes systems for intelligent security, fire protection, parking, toll collection, broadcasting, identification, data room, emergency command, and city management. Since its inception, Julong has focused on the successful and on-time execution of complex projects, through its “deliveries before deadline” and “customers first” initiatives. As Julong continues to cross-sell its service and solution offerings and advance its purpose-built technologies, the Company is well-positioned to achieve economies of scale and capture future opportunities.</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ir.julongzx.com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at a specified rate solely for the convenience of the reader. Unless otherwise noted, all translations from RMB to U.S. dollars and from U.S. dollars to RMB are made at a rate of RMB6.8980 to US$1.00, the exchange rate on March 31, 2026 set forth in the H.10 statistical release of the Federal Reserve Board. The Company makes no representation that the RMB or U.S. dollar amounts referred could be converted into U.S. dollars or RMB, as the case may be, at any particular rate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which are made pursuant to the “safe harbor” provisions of the U.S. Private Securities Litigation Reform Act of 1995. These forward-looking statements include, but are not limited to, statements relating to the Company’s future operating and financial performance, business strategies, and growth plans. These forward-looking statements can be identified by terminology such as “will,” “would,” “may,” “expects,” “anticipates,” “aims,” “future,” “continues,” “could,” “should,” “target,” “intends,” “plans,” “believes,” “estimates,” “likely to,” and similar expressions. Statements that are not historical facts, including statements about the Company’s beliefs, plans, and expectations, are forward-looking statements. Forward-looking statements involve inherent risks and uncertainties. Actual results may differ materially from those indicated by such forward-looking statements as a result of various important factors, including uncertainties related to market conditions, competition, and other factors discussed in the “Risk Factors” section of the Company’s filings with the Securities and Exchange Commission.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ir@julongzx.com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Jenny Cai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(10) 6508-0677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julong@thepiacentegroup.com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julong@thepiacentegroup.com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40"/>
        <w:gridCol w:w="60"/>
        <w:gridCol w:w="67"/>
        <w:gridCol w:w="1374"/>
        <w:gridCol w:w="60"/>
        <w:gridCol w:w="60"/>
        <w:gridCol w:w="61"/>
        <w:gridCol w:w="1248"/>
        <w:gridCol w:w="60"/>
        <w:gridCol w:w="60"/>
        <w:gridCol w:w="64"/>
        <w:gridCol w:w="1173"/>
        <w:gridCol w:w="78"/>
      </w:tblGrid>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8" w:type="dxa"/>
            <w:tcBorders/>
            <w:vAlign w:val="center"/>
          </w:tcPr>
          <w:p>
            <w:pPr>
              <w:pStyle w:val="TableContents"/>
              <w:bidi w:val="0"/>
              <w:spacing w:before="0" w:after="283"/>
              <w:jc w:val="center"/>
              <w:rPr/>
            </w:pPr>
            <w:r>
              <w:rPr/>
              <w:t> </w:t>
            </w:r>
          </w:p>
        </w:tc>
      </w:tr>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jc w:val="center"/>
              <w:rPr/>
            </w:pPr>
            <w:r>
              <w:rPr/>
              <w:t> </w:t>
            </w:r>
          </w:p>
        </w:tc>
        <w:tc>
          <w:tcPr>
            <w:tcW w:w="1374"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1248"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173"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78" w:type="dxa"/>
            <w:tcBorders/>
            <w:shd w:fill="FFFFFF" w:val="clear"/>
            <w:vAlign w:val="center"/>
          </w:tcPr>
          <w:p>
            <w:pPr>
              <w:pStyle w:val="TableContents"/>
              <w:bidi w:val="0"/>
              <w:spacing w:before="0" w:after="283"/>
              <w:jc w:val="center"/>
              <w:rPr/>
            </w:pPr>
            <w:r>
              <w:rPr/>
              <w:t> </w:t>
            </w:r>
          </w:p>
        </w:tc>
      </w:tr>
      <w:tr>
        <w:trPr/>
        <w:tc>
          <w:tcPr>
            <w:tcW w:w="58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62,247,145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43,216,643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6,265,098</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87</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Accounts receivable (net of allowance of RMB91,886 and RMB56,070 as of September 30,2025 and March 31, 2026, respectively)</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14,723,857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8,130,297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1,178,646</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Unbilled receivables (net of allowance of RMB4,267,547 and RMB5,457,002 as of September 30,2025 and March 31, 2026, respectively)</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242,066,085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303,893,778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44,055,346</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Contract assets</w:t>
            </w:r>
            <w:r>
              <w:rPr>
                <w:rFonts w:ascii="Times New Roman;Times;Serif" w:hAnsi="Times New Roman;Times;Serif"/>
                <w:sz w:val="20"/>
              </w:rPr>
              <w:t>- current (net of allowance of nil and nil as of September 30, 2025 and March 31, 2026, respectively)</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2,466,827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1,498,137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217,184</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Other receivable (net of allowance of RMB64,103 and RMB164,106 as of September 30, 2025 and March 31, 2026, respectively)</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801,734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24,234,001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3,513,192</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3,486,135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1,105,933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160,327</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4" w:type="dxa"/>
            <w:tcBorders>
              <w:bottom w:val="single" w:sz="8" w:space="0" w:color="000000"/>
            </w:tcBorders>
            <w:shd w:fill="FFFFFF" w:val="clear"/>
            <w:tcMar>
              <w:bottom w:w="28" w:type="dxa"/>
            </w:tcMar>
            <w:vAlign w:val="center"/>
          </w:tcPr>
          <w:p>
            <w:pPr>
              <w:pStyle w:val="TableContents"/>
              <w:bidi w:val="0"/>
              <w:spacing w:before="0" w:after="283"/>
              <w:jc w:val="right"/>
              <w:rPr/>
            </w:pPr>
            <w:r>
              <w:rPr/>
              <w:t>1,966,812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pPr>
            <w:r>
              <w:rPr/>
              <w:t>4,212,170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610,635</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b/>
              </w:rPr>
            </w:pPr>
            <w:r>
              <w:rPr>
                <w:b/>
              </w:rPr>
              <w:t>327,759,195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b/>
              </w:rPr>
            </w:pPr>
            <w:r>
              <w:rPr>
                <w:b/>
              </w:rPr>
              <w:t>386,291,559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b/>
              </w:rPr>
            </w:pPr>
            <w:r>
              <w:rPr>
                <w:b/>
              </w:rPr>
              <w:t>56,000,515</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83,125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161,404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23,399</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1,044,349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1,240,584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179,847</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280,398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229,471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33,266</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Contract assets- non-current, net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4" w:type="dxa"/>
            <w:tcBorders>
              <w:bottom w:val="single" w:sz="8" w:space="0" w:color="000000"/>
            </w:tcBorders>
            <w:shd w:fill="CCEEFF" w:val="clear"/>
            <w:tcMar>
              <w:bottom w:w="28" w:type="dxa"/>
            </w:tcMar>
            <w:vAlign w:val="center"/>
          </w:tcPr>
          <w:p>
            <w:pPr>
              <w:pStyle w:val="TableContents"/>
              <w:bidi w:val="0"/>
              <w:spacing w:before="0" w:after="283"/>
              <w:jc w:val="right"/>
              <w:rPr/>
            </w:pPr>
            <w:r>
              <w:rPr/>
              <w:t>10,955,098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EFF" w:val="clear"/>
            <w:tcMar>
              <w:bottom w:w="28" w:type="dxa"/>
            </w:tcMar>
            <w:vAlign w:val="center"/>
          </w:tcPr>
          <w:p>
            <w:pPr>
              <w:pStyle w:val="TableContents"/>
              <w:bidi w:val="0"/>
              <w:spacing w:before="0" w:after="283"/>
              <w:jc w:val="right"/>
              <w:rPr/>
            </w:pPr>
            <w:r>
              <w:rPr/>
              <w:t>10,995,921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1,594,074</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12,362,970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12,627,380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1,830,586</w:t>
            </w:r>
          </w:p>
        </w:tc>
        <w:tc>
          <w:tcPr>
            <w:tcW w:w="78"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340,122,165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398,918,939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57,831,101</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JULONG HOLDING LIMITED</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47"/>
        <w:gridCol w:w="60"/>
        <w:gridCol w:w="64"/>
        <w:gridCol w:w="1310"/>
        <w:gridCol w:w="95"/>
        <w:gridCol w:w="60"/>
        <w:gridCol w:w="60"/>
        <w:gridCol w:w="1236"/>
        <w:gridCol w:w="95"/>
        <w:gridCol w:w="60"/>
        <w:gridCol w:w="62"/>
        <w:gridCol w:w="1143"/>
        <w:gridCol w:w="113"/>
      </w:tblGrid>
      <w:tr>
        <w:trPr/>
        <w:tc>
          <w:tcPr>
            <w:tcW w:w="58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113" w:type="dxa"/>
            <w:tcBorders/>
            <w:vAlign w:val="center"/>
          </w:tcPr>
          <w:p>
            <w:pPr>
              <w:pStyle w:val="TableContents"/>
              <w:bidi w:val="0"/>
              <w:spacing w:before="0" w:after="283"/>
              <w:jc w:val="center"/>
              <w:rPr/>
            </w:pPr>
            <w:r>
              <w:rPr/>
              <w:t> </w:t>
            </w:r>
          </w:p>
        </w:tc>
      </w:tr>
      <w:tr>
        <w:trPr/>
        <w:tc>
          <w:tcPr>
            <w:tcW w:w="584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36"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center"/>
              <w:rPr/>
            </w:pPr>
            <w:r>
              <w:rPr/>
              <w:t> </w:t>
            </w:r>
          </w:p>
        </w:tc>
        <w:tc>
          <w:tcPr>
            <w:tcW w:w="1143"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13" w:type="dxa"/>
            <w:tcBorders/>
            <w:shd w:fill="FFFFFF" w:val="clear"/>
            <w:vAlign w:val="center"/>
          </w:tcPr>
          <w:p>
            <w:pPr>
              <w:pStyle w:val="TableContents"/>
              <w:bidi w:val="0"/>
              <w:spacing w:before="0" w:after="283"/>
              <w:jc w:val="center"/>
              <w:rPr/>
            </w:pPr>
            <w:r>
              <w:rPr/>
              <w:t> </w:t>
            </w:r>
          </w:p>
        </w:tc>
      </w:tr>
      <w:tr>
        <w:trPr/>
        <w:tc>
          <w:tcPr>
            <w:tcW w:w="5847"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pPr>
            <w:r>
              <w:rPr/>
              <w:t>Short-term borrowing</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1,449,696</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21,797,667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15,767,146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2,285,756</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844,757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1,691,990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245,287</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221,848,274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275,039,372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39,872,336</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5,244,067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3,443,940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499,266</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10,312,947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12,398,896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1,797,462</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pPr>
            <w:r>
              <w:rPr/>
              <w:t>99,065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pPr>
            <w:r>
              <w:rPr/>
              <w:t>100,540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14,575</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b/>
              </w:rPr>
            </w:pPr>
            <w:r>
              <w:rPr>
                <w:b/>
              </w:rPr>
              <w:t>270,146,777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b/>
              </w:rPr>
            </w:pPr>
            <w:r>
              <w:rPr>
                <w:b/>
              </w:rPr>
              <w:t>318,441,884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46,164,378</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164,896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114,254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16,563</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164,896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114,254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16,563</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270,311,673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318,556,138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46,180,941</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pPr>
            <w:r>
              <w:rPr/>
              <w:t>Stock Subscription Receivable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(14,246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(14,246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(2,065</w:t>
            </w:r>
          </w:p>
        </w:tc>
        <w:tc>
          <w:tcPr>
            <w:tcW w:w="113" w:type="dxa"/>
            <w:tcBorders/>
            <w:shd w:fill="FFFFFF" w:val="clear"/>
            <w:vAlign w:val="center"/>
          </w:tcPr>
          <w:p>
            <w:pPr>
              <w:pStyle w:val="TableContents"/>
              <w:bidi w:val="0"/>
              <w:spacing w:before="0" w:after="283"/>
              <w:jc w:val="left"/>
              <w:rPr/>
            </w:pPr>
            <w:r>
              <w:rPr/>
              <w:t>)</w:t>
            </w:r>
          </w:p>
        </w:tc>
      </w:tr>
      <w:tr>
        <w:trPr/>
        <w:tc>
          <w:tcPr>
            <w:tcW w:w="584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Ordinary shares subscribed (US$0.0001 par value, 500,000,000 shares authorized as of September 30, 2025 and March 31, 2026; 21,448,632 shares issued and outstanding as of September 30, 2025 and March 31, 2026)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15,269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2,214</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26,281,420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26,281,420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3,810,006</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pPr>
            <w:r>
              <w:rPr/>
              <w:t>Statutory reserve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5,883,035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7,048,957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1,021,884</w:t>
            </w:r>
          </w:p>
        </w:tc>
        <w:tc>
          <w:tcPr>
            <w:tcW w:w="113" w:type="dxa"/>
            <w:tcBorders/>
            <w:shd w:fill="CCEEFF" w:val="clear"/>
            <w:vAlign w:val="center"/>
          </w:tcPr>
          <w:p>
            <w:pPr>
              <w:pStyle w:val="TableContents"/>
              <w:bidi w:val="0"/>
              <w:spacing w:before="0" w:after="283"/>
              <w:jc w:val="left"/>
              <w:rPr/>
            </w:pPr>
            <w:r>
              <w:rPr/>
              <w:t> </w:t>
            </w:r>
          </w:p>
        </w:tc>
      </w:tr>
      <w:tr>
        <w:trPr/>
        <w:tc>
          <w:tcPr>
            <w:tcW w:w="5847" w:type="dxa"/>
            <w:tcBorders/>
            <w:shd w:fill="FFFFFF" w:val="clear"/>
            <w:vAlign w:val="center"/>
          </w:tcPr>
          <w:p>
            <w:pPr>
              <w:pStyle w:val="TableContents"/>
              <w:bidi w:val="0"/>
              <w:spacing w:before="0" w:after="283"/>
              <w:jc w:val="both"/>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37,645,105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48,138,412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6,978,604</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CCEEFF" w:val="clear"/>
            <w:tcMar>
              <w:bottom w:w="28" w:type="dxa"/>
            </w:tcMar>
            <w:vAlign w:val="center"/>
          </w:tcPr>
          <w:p>
            <w:pPr>
              <w:pStyle w:val="TableContents"/>
              <w:bidi w:val="0"/>
              <w:spacing w:before="0" w:after="283"/>
              <w:jc w:val="right"/>
              <w:rPr/>
            </w:pPr>
            <w:r>
              <w:rPr/>
              <w:t>(1,107,011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(160,483</w:t>
            </w:r>
          </w:p>
        </w:tc>
        <w:tc>
          <w:tcPr>
            <w:tcW w:w="113" w:type="dxa"/>
            <w:tcBorders/>
            <w:shd w:fill="CCEEFF" w:val="clear"/>
            <w:vAlign w:val="center"/>
          </w:tcPr>
          <w:p>
            <w:pPr>
              <w:pStyle w:val="TableContents"/>
              <w:bidi w:val="0"/>
              <w:spacing w:before="0" w:after="283"/>
              <w:jc w:val="left"/>
              <w:rPr/>
            </w:pPr>
            <w:r>
              <w:rPr/>
              <w:t>)</w:t>
            </w:r>
          </w:p>
        </w:tc>
      </w:tr>
      <w:tr>
        <w:trPr/>
        <w:tc>
          <w:tcPr>
            <w:tcW w:w="5847" w:type="dxa"/>
            <w:tcBorders/>
            <w:shd w:fill="FFFFFF" w:val="clear"/>
            <w:vAlign w:val="center"/>
          </w:tcPr>
          <w:p>
            <w:pPr>
              <w:pStyle w:val="TableContents"/>
              <w:bidi w:val="0"/>
              <w:spacing w:before="0" w:after="283"/>
              <w:jc w:val="both"/>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69,810,492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80,362,801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11,650,160</w:t>
            </w:r>
          </w:p>
        </w:tc>
        <w:tc>
          <w:tcPr>
            <w:tcW w:w="113" w:type="dxa"/>
            <w:tcBorders/>
            <w:shd w:fill="FFFFFF" w:val="clear"/>
            <w:vAlign w:val="center"/>
          </w:tcPr>
          <w:p>
            <w:pPr>
              <w:pStyle w:val="TableContents"/>
              <w:bidi w:val="0"/>
              <w:spacing w:before="0" w:after="283"/>
              <w:jc w:val="left"/>
              <w:rPr/>
            </w:pPr>
            <w:r>
              <w:rPr/>
              <w:t> </w:t>
            </w:r>
          </w:p>
        </w:tc>
      </w:tr>
      <w:tr>
        <w:trPr/>
        <w:tc>
          <w:tcPr>
            <w:tcW w:w="5847" w:type="dxa"/>
            <w:tcBorders/>
            <w:shd w:fill="CCEEFF" w:val="clear"/>
            <w:vAlign w:val="center"/>
          </w:tcPr>
          <w:p>
            <w:pPr>
              <w:pStyle w:val="TableContents"/>
              <w:bidi w:val="0"/>
              <w:spacing w:before="0" w:after="283"/>
              <w:jc w:val="both"/>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340,122,165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398,918,939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57,831,101</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260"/>
        <w:gridCol w:w="459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retroactive effect to Reorganization transactions.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w:t>
        <w:br/>
        <w:t>INCOME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05"/>
        <w:gridCol w:w="60"/>
        <w:gridCol w:w="60"/>
        <w:gridCol w:w="1220"/>
        <w:gridCol w:w="95"/>
        <w:gridCol w:w="60"/>
        <w:gridCol w:w="60"/>
        <w:gridCol w:w="1220"/>
        <w:gridCol w:w="95"/>
        <w:gridCol w:w="60"/>
        <w:gridCol w:w="60"/>
        <w:gridCol w:w="1100"/>
        <w:gridCol w:w="11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Revenues (including revenues from related parties of RMB42,257,767 and RMB63,792,598 for the six months ended March 31, 2025 and 2026,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102,175,246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124,292,811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18,018,674</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85,456,746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104,839,391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15,198,520</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16,718,500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19,453,420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2,820,154</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3,105,980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5,959,721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863,978</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3,105,980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5,959,721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863,978</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13,612,520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13,493,699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1,956,176</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(21,577</w:t>
            </w:r>
          </w:p>
        </w:tc>
        <w:tc>
          <w:tcPr>
            <w:tcW w:w="110" w:type="dxa"/>
            <w:tcBorders/>
            <w:shd w:fill="CCEEFF" w:val="clear"/>
            <w:vAlign w:val="center"/>
          </w:tcPr>
          <w:p>
            <w:pPr>
              <w:pStyle w:val="TableContents"/>
              <w:bidi w:val="0"/>
              <w:spacing w:before="0" w:after="283"/>
              <w:jc w:val="left"/>
              <w:rPr/>
            </w:pPr>
            <w:r>
              <w:rPr/>
              <w:t>)</w:t>
            </w:r>
          </w:p>
        </w:tc>
      </w:tr>
      <w:tr>
        <w:trPr/>
        <w:tc>
          <w:tcPr>
            <w:tcW w:w="600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324,664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47,066</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Income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13,611,847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13,669,524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1,981,665</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2,045,183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2,010,295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291,432</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11,566,664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11,659,229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1,690,233</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Other comprehensive loss, net of tax of nil: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(1,107,011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(160,483</w:t>
            </w:r>
          </w:p>
        </w:tc>
        <w:tc>
          <w:tcPr>
            <w:tcW w:w="110" w:type="dxa"/>
            <w:tcBorders/>
            <w:shd w:fill="CCEEFF" w:val="clear"/>
            <w:vAlign w:val="center"/>
          </w:tcPr>
          <w:p>
            <w:pPr>
              <w:pStyle w:val="TableContents"/>
              <w:bidi w:val="0"/>
              <w:spacing w:before="0" w:after="283"/>
              <w:jc w:val="left"/>
              <w:rPr/>
            </w:pPr>
            <w:r>
              <w:rPr/>
              <w:t>)</w:t>
            </w:r>
          </w:p>
        </w:tc>
      </w:tr>
      <w:tr>
        <w:trPr/>
        <w:tc>
          <w:tcPr>
            <w:tcW w:w="6005" w:type="dxa"/>
            <w:tcBorders/>
            <w:shd w:fill="FFFFFF" w:val="clear"/>
            <w:vAlign w:val="center"/>
          </w:tcPr>
          <w:p>
            <w:pPr>
              <w:pStyle w:val="TableContents"/>
              <w:bidi w:val="0"/>
              <w:spacing w:before="0" w:after="283"/>
              <w:jc w:val="left"/>
              <w:rPr>
                <w:b/>
              </w:rPr>
            </w:pPr>
            <w:r>
              <w:rPr>
                <w:b/>
              </w:rPr>
              <w:t>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11,566,664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10,552,218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1,529,750</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b/>
              </w:rPr>
            </w:pPr>
            <w:r>
              <w:rPr>
                <w:b/>
              </w:rPr>
              <w:t>Net income per share-basic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Weighted average number of ordinary shares outstanding-basic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20,011,132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21,448,632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21,448,632</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Basic and diluted net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0.08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SHAREHOLDERS’ EQUITY</w:t>
      </w:r>
    </w:p>
    <w:p>
      <w:pPr>
        <w:pStyle w:val="TextBody"/>
        <w:bidi w:val="0"/>
        <w:spacing w:before="0" w:after="0"/>
        <w:ind w:left="0" w:right="0" w:hanging="0"/>
        <w:jc w:val="center"/>
        <w:rPr>
          <w:caps w:val="false"/>
          <w:smallCaps w:val="false"/>
        </w:rPr>
      </w:pPr>
      <w:r>
        <w:rPr>
          <w:caps w:val="false"/>
          <w:smallCaps w:val="false"/>
        </w:rPr>
        <w:t> </w:t>
      </w:r>
    </w:p>
    <w:tbl>
      <w:tblPr>
        <w:tblW w:w="14600" w:type="dxa"/>
        <w:jc w:val="left"/>
        <w:tblInd w:w="0" w:type="dxa"/>
        <w:tblLayout w:type="fixed"/>
        <w:tblCellMar>
          <w:top w:w="0" w:type="dxa"/>
          <w:left w:w="0" w:type="dxa"/>
          <w:bottom w:w="0" w:type="dxa"/>
          <w:right w:w="0" w:type="dxa"/>
        </w:tblCellMar>
      </w:tblPr>
      <w:tblGrid>
        <w:gridCol w:w="1130"/>
        <w:gridCol w:w="60"/>
        <w:gridCol w:w="60"/>
        <w:gridCol w:w="1100"/>
        <w:gridCol w:w="60"/>
        <w:gridCol w:w="60"/>
        <w:gridCol w:w="60"/>
        <w:gridCol w:w="680"/>
        <w:gridCol w:w="60"/>
        <w:gridCol w:w="60"/>
        <w:gridCol w:w="88"/>
        <w:gridCol w:w="1117"/>
        <w:gridCol w:w="95"/>
        <w:gridCol w:w="60"/>
        <w:gridCol w:w="60"/>
        <w:gridCol w:w="1100"/>
        <w:gridCol w:w="60"/>
        <w:gridCol w:w="60"/>
        <w:gridCol w:w="60"/>
        <w:gridCol w:w="980"/>
        <w:gridCol w:w="60"/>
        <w:gridCol w:w="60"/>
        <w:gridCol w:w="77"/>
        <w:gridCol w:w="1368"/>
        <w:gridCol w:w="95"/>
        <w:gridCol w:w="60"/>
        <w:gridCol w:w="70"/>
        <w:gridCol w:w="1285"/>
        <w:gridCol w:w="95"/>
        <w:gridCol w:w="60"/>
        <w:gridCol w:w="66"/>
        <w:gridCol w:w="1214"/>
        <w:gridCol w:w="95"/>
        <w:gridCol w:w="60"/>
        <w:gridCol w:w="594"/>
        <w:gridCol w:w="941"/>
        <w:gridCol w:w="60"/>
        <w:gridCol w:w="60"/>
        <w:gridCol w:w="60"/>
        <w:gridCol w:w="1100"/>
        <w:gridCol w:w="11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pPr>
            <w:r>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pPr>
            <w:r>
              <w:rPr/>
              <w:t>Stock Subscription Receivable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Additional</w:t>
              <w:br/>
              <w:t xml:space="preserve">paid-in </w:t>
              <w:b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xml:space="preserve">Statutory </w:t>
              <w:br/>
              <w:t>reserve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vAlign w:val="center"/>
          </w:tcPr>
          <w:p>
            <w:pPr>
              <w:pStyle w:val="TableContents"/>
              <w:bidi w:val="0"/>
              <w:spacing w:before="0" w:after="283"/>
              <w:jc w:val="center"/>
              <w:rPr/>
            </w:pPr>
            <w:r>
              <w:rPr/>
              <w:t>Accumulated other comprehensive income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vAlign w:val="center"/>
          </w:tcPr>
          <w:p>
            <w:pPr>
              <w:pStyle w:val="TableContents"/>
              <w:bidi w:val="0"/>
              <w:spacing w:before="0" w:after="283"/>
              <w:jc w:val="center"/>
              <w:rPr/>
            </w:pPr>
            <w:r>
              <w:rPr/>
              <w:t>(Accumulated deficit)/Retained 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 xml:space="preserve">Total Julong Holding Limited shareholders’ </w:t>
              <w:br/>
              <w:t>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pPr>
            <w:r>
              <w:rPr/>
              <w:t xml:space="preserve">Non-controlling </w:t>
              <w:br/>
              <w:t>interest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xml:space="preserve">Total </w:t>
              <w:br/>
              <w:t>equity</w:t>
            </w:r>
          </w:p>
        </w:tc>
        <w:tc>
          <w:tcPr>
            <w:tcW w:w="110" w:type="dxa"/>
            <w:tcBorders/>
            <w:vAlign w:val="center"/>
          </w:tcPr>
          <w:p>
            <w:pPr>
              <w:pStyle w:val="TableContents"/>
              <w:bidi w:val="0"/>
              <w:spacing w:before="0" w:after="283"/>
              <w:jc w:val="center"/>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110" w:type="dxa"/>
            <w:tcBorders/>
            <w:vAlign w:val="center"/>
          </w:tcPr>
          <w:p>
            <w:pPr>
              <w:pStyle w:val="TableContents"/>
              <w:bidi w:val="0"/>
              <w:spacing w:before="0" w:after="283"/>
              <w:jc w:val="center"/>
              <w:rPr/>
            </w:pPr>
            <w:r>
              <w:rPr/>
              <w:t> </w:t>
            </w:r>
          </w:p>
        </w:tc>
      </w:tr>
      <w:tr>
        <w:trPr/>
        <w:tc>
          <w:tcPr>
            <w:tcW w:w="1130" w:type="dxa"/>
            <w:tcBorders/>
            <w:shd w:fill="CCEEFF" w:val="clear"/>
            <w:vAlign w:val="center"/>
          </w:tcPr>
          <w:p>
            <w:pPr>
              <w:pStyle w:val="TableContents"/>
              <w:bidi w:val="0"/>
              <w:spacing w:before="0" w:after="283"/>
              <w:jc w:val="left"/>
              <w:rPr>
                <w:b/>
              </w:rPr>
            </w:pPr>
            <w:r>
              <w:rPr>
                <w:b/>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(14,043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3,267,815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14,108,126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17,375,941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17,375,941</w:t>
            </w:r>
          </w:p>
        </w:tc>
        <w:tc>
          <w:tcPr>
            <w:tcW w:w="110"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283"/>
              <w:jc w:val="left"/>
              <w:rPr/>
            </w:pPr>
            <w:r>
              <w:rPr/>
              <w:t>Net income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11,566,664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11,566,664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11,566,664</w:t>
            </w:r>
          </w:p>
        </w:tc>
        <w:tc>
          <w:tcPr>
            <w:tcW w:w="110"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Provision of 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(1,156,666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(478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b/>
              </w:rPr>
            </w:pPr>
            <w:r>
              <w:rPr>
                <w:b/>
              </w:rPr>
              <w:t>Balance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(14,521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4,424,481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24,518,124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28,942,605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28,942,605</w:t>
            </w:r>
          </w:p>
        </w:tc>
        <w:tc>
          <w:tcPr>
            <w:tcW w:w="110"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21,448,632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15,269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b/>
              </w:rPr>
            </w:pPr>
            <w:r>
              <w:rPr>
                <w:b/>
              </w:rPr>
              <w:t>(14,246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26,281,420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5,883,035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b/>
              </w:rPr>
            </w:pPr>
            <w:r>
              <w:rPr>
                <w:b/>
              </w:rPr>
              <w:t>(91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b/>
              </w:rPr>
            </w:pPr>
            <w:r>
              <w:rPr>
                <w:b/>
              </w:rPr>
              <w:t>37,645,105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b/>
              </w:rPr>
            </w:pPr>
            <w:r>
              <w:rPr>
                <w:b/>
              </w:rPr>
              <w:t>69,810,492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69,810,492</w:t>
            </w:r>
          </w:p>
        </w:tc>
        <w:tc>
          <w:tcPr>
            <w:tcW w:w="110"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283"/>
              <w:jc w:val="left"/>
              <w:rPr/>
            </w:pPr>
            <w:r>
              <w:rPr/>
              <w:t>Net income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11,659,229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11,659,229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11,659,229</w:t>
            </w:r>
          </w:p>
        </w:tc>
        <w:tc>
          <w:tcPr>
            <w:tcW w:w="110" w:type="dxa"/>
            <w:tcBorders/>
            <w:shd w:fill="FFFFFF" w:val="clear"/>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Provision of 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1,165,922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(1,165,922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13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(1,106,920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(1,106,920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(1,106,920</w:t>
            </w:r>
          </w:p>
        </w:tc>
        <w:tc>
          <w:tcPr>
            <w:tcW w:w="110" w:type="dxa"/>
            <w:tcBorders/>
            <w:shd w:fill="FFFFFF" w:val="clear"/>
            <w:vAlign w:val="center"/>
          </w:tcPr>
          <w:p>
            <w:pPr>
              <w:pStyle w:val="TableContents"/>
              <w:bidi w:val="0"/>
              <w:spacing w:before="0" w:after="283"/>
              <w:jc w:val="left"/>
              <w:rPr/>
            </w:pPr>
            <w:r>
              <w:rPr/>
              <w:t>)</w:t>
            </w:r>
          </w:p>
        </w:tc>
      </w:tr>
      <w:tr>
        <w:trPr/>
        <w:tc>
          <w:tcPr>
            <w:tcW w:w="1130" w:type="dxa"/>
            <w:tcBorders/>
            <w:shd w:fill="CCEEFF" w:val="clear"/>
            <w:vAlign w:val="center"/>
          </w:tcPr>
          <w:p>
            <w:pPr>
              <w:pStyle w:val="TableContents"/>
              <w:bidi w:val="0"/>
              <w:spacing w:before="0" w:after="283"/>
              <w:jc w:val="left"/>
              <w:rPr>
                <w:b/>
              </w:rPr>
            </w:pPr>
            <w:r>
              <w:rPr>
                <w:b/>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21,448,632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26,281,420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7,048,957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(1,107,011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48,138,412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80,362,801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80,362,801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40"/>
        <w:gridCol w:w="60"/>
        <w:gridCol w:w="60"/>
        <w:gridCol w:w="1175"/>
        <w:gridCol w:w="95"/>
        <w:gridCol w:w="60"/>
        <w:gridCol w:w="60"/>
        <w:gridCol w:w="1175"/>
        <w:gridCol w:w="95"/>
        <w:gridCol w:w="60"/>
        <w:gridCol w:w="60"/>
        <w:gridCol w:w="1055"/>
        <w:gridCol w:w="110"/>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11,566,664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11,659,229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1,690,233</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1,570</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Amortization of the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7,383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Provision of allowance for doubtful accounts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94,292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6,420,154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930,727</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Provision of allowance for unbilled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311,983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1,189,455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172,435</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(4,473,997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3,451,393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500,347</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Unbilled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(18,755,216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(63,017,148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(9,135,568</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(2,110,855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968,690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140,431</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Other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(80,510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(23,532,270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(3,411,463</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(759,161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(2,245,360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(325,509</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Amount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699,026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2,380,202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345,057</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(62,182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(196,235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(28,448</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476,681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(5,918</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(4,720,741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(7,985,422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(1,157,643</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16,811,087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46,683,831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6,767,734</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1,875,544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2,085,949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302,399</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2,081,323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847,233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122,823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(13,836,127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(1,800,127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(260,964</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(7,128</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2,638,092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5,284,184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766,047</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(8,236,979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(17,834,473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(2,585,455</w:t>
            </w:r>
          </w:p>
        </w:tc>
        <w:tc>
          <w:tcPr>
            <w:tcW w:w="110" w:type="dxa"/>
            <w:tcBorders/>
            <w:shd w:fill="FFFFFF" w:val="clear"/>
            <w:vAlign w:val="center"/>
          </w:tcPr>
          <w:p>
            <w:pPr>
              <w:pStyle w:val="TableContents"/>
              <w:bidi w:val="0"/>
              <w:spacing w:before="0" w:after="283"/>
              <w:jc w:val="left"/>
              <w:rPr>
                <w:b/>
              </w:rPr>
            </w:pPr>
            <w:r>
              <w:rPr>
                <w:b/>
              </w:rPr>
              <w:t>)</w:t>
            </w:r>
          </w:p>
        </w:tc>
      </w:tr>
      <w:tr>
        <w:trPr/>
        <w:tc>
          <w:tcPr>
            <w:tcW w:w="61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(89,109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(12,918</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(89,109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(12,918</w:t>
            </w:r>
          </w:p>
        </w:tc>
        <w:tc>
          <w:tcPr>
            <w:tcW w:w="110" w:type="dxa"/>
            <w:tcBorders/>
            <w:shd w:fill="FFFFFF" w:val="clear"/>
            <w:vAlign w:val="center"/>
          </w:tcPr>
          <w:p>
            <w:pPr>
              <w:pStyle w:val="TableContents"/>
              <w:bidi w:val="0"/>
              <w:spacing w:before="0" w:after="283"/>
              <w:jc w:val="left"/>
              <w:rPr>
                <w:b/>
              </w:rPr>
            </w:pPr>
            <w:r>
              <w:rPr>
                <w:b/>
              </w:rPr>
              <w:t>)</w:t>
            </w:r>
          </w:p>
        </w:tc>
      </w:tr>
      <w:tr>
        <w:trPr/>
        <w:tc>
          <w:tcPr>
            <w:tcW w:w="61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Proceed from short-term borrowing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1,449,696</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Proceed from (repayment of) short-term borrowing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(1,449,696</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both"/>
              <w:rPr/>
            </w:pPr>
            <w:r>
              <w:rPr/>
              <w:t>Payment of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(1,169,139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8,830,861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pPr>
            <w:r>
              <w:rPr/>
              <w:t> </w:t>
            </w:r>
            <w:r>
              <w:rPr/>
              <w:t>Exchange rate effect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(1,106,920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(160,470</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both"/>
              <w:rPr>
                <w:b/>
              </w:rPr>
            </w:pPr>
            <w:r>
              <w:rPr>
                <w:b/>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593,882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(19,030,502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(2,758,843</w:t>
            </w:r>
          </w:p>
        </w:tc>
        <w:tc>
          <w:tcPr>
            <w:tcW w:w="110" w:type="dxa"/>
            <w:tcBorders/>
            <w:shd w:fill="FFFFFF" w:val="clear"/>
            <w:vAlign w:val="center"/>
          </w:tcPr>
          <w:p>
            <w:pPr>
              <w:pStyle w:val="TableContents"/>
              <w:bidi w:val="0"/>
              <w:spacing w:before="0" w:after="283"/>
              <w:jc w:val="left"/>
              <w:rPr>
                <w:b/>
              </w:rPr>
            </w:pPr>
            <w:r>
              <w:rPr>
                <w:b/>
              </w:rPr>
              <w:t>)</w:t>
            </w:r>
          </w:p>
        </w:tc>
      </w:tr>
      <w:tr>
        <w:trPr/>
        <w:tc>
          <w:tcPr>
            <w:tcW w:w="6140" w:type="dxa"/>
            <w:tcBorders/>
            <w:shd w:fill="CCEEFF" w:val="clear"/>
            <w:vAlign w:val="center"/>
          </w:tcPr>
          <w:p>
            <w:pPr>
              <w:pStyle w:val="TableContents"/>
              <w:bidi w:val="0"/>
              <w:spacing w:before="0" w:after="283"/>
              <w:jc w:val="both"/>
              <w:rPr>
                <w:b/>
              </w:rPr>
            </w:pPr>
            <w:r>
              <w:rPr>
                <w:b/>
              </w:rPr>
              <w:t>Cash, cash equivalents and restricted cash at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20,772,130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62,247,745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9,024,028</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both"/>
              <w:rPr>
                <w:b/>
              </w:rPr>
            </w:pPr>
            <w:r>
              <w:rPr>
                <w:b/>
              </w:rPr>
              <w:t>Cash, cash equivalents and restricted cash at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21,366,012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43,217,243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6,265,185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7846/000149315226034489/formf-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13159</Words>
  <Characters>75428</Characters>
  <CharactersWithSpaces>91573</CharactersWithSpaces>
  <Paragraphs>8002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